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3C96" w:rsidRPr="00F53C96" w:rsidRDefault="00F53C96" w:rsidP="00F53C96">
      <w:pPr>
        <w:jc w:val="center"/>
        <w:rPr>
          <w:rFonts w:cstheme="minorHAnsi"/>
          <w:i/>
          <w:lang w:val="en-US"/>
        </w:rPr>
      </w:pPr>
      <w:r w:rsidRPr="00F53C96">
        <w:rPr>
          <w:rFonts w:cstheme="minorHAnsi"/>
          <w:i/>
          <w:lang w:val="en-US"/>
        </w:rPr>
        <w:t>Old man Bonhoeffer.</w:t>
      </w:r>
    </w:p>
    <w:p w:rsidR="00F53C96" w:rsidRPr="00F53C96" w:rsidRDefault="00F53C96" w:rsidP="00F53C96">
      <w:pPr>
        <w:jc w:val="center"/>
        <w:rPr>
          <w:rFonts w:cstheme="minorHAnsi"/>
          <w:i/>
          <w:lang w:val="en-US"/>
        </w:rPr>
      </w:pPr>
      <w:r w:rsidRPr="00F53C96">
        <w:rPr>
          <w:rFonts w:cstheme="minorHAnsi"/>
          <w:i/>
          <w:lang w:val="en-US"/>
        </w:rPr>
        <w:t>Generativity, life span psychology and intergenerational ethics.</w:t>
      </w:r>
    </w:p>
    <w:p w:rsidR="00F53C96" w:rsidRPr="00F53C96" w:rsidRDefault="00F53C96" w:rsidP="00F53C96">
      <w:pPr>
        <w:jc w:val="center"/>
        <w:rPr>
          <w:rFonts w:cstheme="minorHAnsi"/>
          <w:i/>
          <w:lang w:val="en-US"/>
        </w:rPr>
      </w:pPr>
    </w:p>
    <w:p w:rsidR="00F53C96" w:rsidRPr="00F53C96" w:rsidRDefault="00F53C96" w:rsidP="00F53C96">
      <w:pPr>
        <w:jc w:val="center"/>
        <w:rPr>
          <w:rFonts w:cstheme="minorHAnsi"/>
          <w:i/>
          <w:lang w:val="en-US"/>
        </w:rPr>
      </w:pPr>
      <w:r w:rsidRPr="00F53C96">
        <w:rPr>
          <w:rFonts w:cstheme="minorHAnsi"/>
          <w:i/>
          <w:lang w:val="en-US"/>
        </w:rPr>
        <w:t xml:space="preserve">International Bonhoeffer Conference Stellenbosch </w:t>
      </w:r>
      <w:r w:rsidR="00DE3040" w:rsidRPr="00F53C96">
        <w:rPr>
          <w:rFonts w:cstheme="minorHAnsi"/>
          <w:i/>
          <w:lang w:val="en-US"/>
        </w:rPr>
        <w:t>January</w:t>
      </w:r>
      <w:r w:rsidRPr="00F53C96">
        <w:rPr>
          <w:rFonts w:cstheme="minorHAnsi"/>
          <w:i/>
          <w:lang w:val="en-US"/>
        </w:rPr>
        <w:t xml:space="preserve"> 2020</w:t>
      </w:r>
    </w:p>
    <w:p w:rsidR="00F53C96" w:rsidRPr="00F53C96" w:rsidRDefault="00F53C96" w:rsidP="00F53C96">
      <w:pPr>
        <w:rPr>
          <w:rFonts w:cstheme="minorHAnsi"/>
          <w:i/>
          <w:lang w:val="en-US"/>
        </w:rPr>
      </w:pPr>
    </w:p>
    <w:p w:rsidR="00F53C96" w:rsidRPr="00F53C96" w:rsidRDefault="00F53C96" w:rsidP="00F53C96">
      <w:pPr>
        <w:jc w:val="center"/>
        <w:rPr>
          <w:rFonts w:cstheme="minorHAnsi"/>
          <w:lang w:val="en-US"/>
        </w:rPr>
      </w:pPr>
      <w:r w:rsidRPr="00F53C96">
        <w:rPr>
          <w:rFonts w:cstheme="minorHAnsi"/>
          <w:lang w:val="en-US"/>
        </w:rPr>
        <w:t>Frits de Lange, Protestant Theological University, Groningen (NL)</w:t>
      </w:r>
    </w:p>
    <w:p w:rsidR="00F53C96" w:rsidRPr="00F53C96" w:rsidRDefault="0028493C" w:rsidP="00F53C96">
      <w:pPr>
        <w:jc w:val="center"/>
        <w:rPr>
          <w:rFonts w:cstheme="minorHAnsi"/>
          <w:lang w:val="en-US"/>
        </w:rPr>
      </w:pPr>
      <w:hyperlink r:id="rId8" w:history="1">
        <w:r w:rsidR="00F53C96" w:rsidRPr="00F53C96">
          <w:rPr>
            <w:rStyle w:val="Hyperlink"/>
            <w:rFonts w:cstheme="minorHAnsi"/>
            <w:lang w:val="en-US"/>
          </w:rPr>
          <w:t>fdelange@pthu.nl</w:t>
        </w:r>
      </w:hyperlink>
    </w:p>
    <w:p w:rsidR="00F53C96" w:rsidRPr="00F53C96" w:rsidRDefault="0028493C" w:rsidP="00F53C96">
      <w:pPr>
        <w:jc w:val="center"/>
        <w:rPr>
          <w:rFonts w:cstheme="minorHAnsi"/>
          <w:lang w:val="en-US"/>
        </w:rPr>
      </w:pPr>
      <w:hyperlink r:id="rId9" w:history="1">
        <w:r w:rsidR="00F53C96" w:rsidRPr="00F53C96">
          <w:rPr>
            <w:rStyle w:val="Hyperlink"/>
            <w:rFonts w:cstheme="minorHAnsi"/>
            <w:lang w:val="en-US"/>
          </w:rPr>
          <w:t>www.fritsdelange.nl</w:t>
        </w:r>
      </w:hyperlink>
    </w:p>
    <w:p w:rsidR="00F53C96" w:rsidRPr="00F53C96" w:rsidRDefault="00F53C96" w:rsidP="00F53C96">
      <w:pPr>
        <w:rPr>
          <w:rFonts w:cstheme="minorHAnsi"/>
          <w:lang w:val="en-US"/>
        </w:rPr>
      </w:pPr>
    </w:p>
    <w:p w:rsidR="00F53C96" w:rsidRPr="00F53C96" w:rsidRDefault="00F53C96" w:rsidP="00F53C96">
      <w:pPr>
        <w:rPr>
          <w:rFonts w:cstheme="minorHAnsi"/>
          <w:lang w:val="en-US"/>
        </w:rPr>
      </w:pPr>
      <w:r w:rsidRPr="00F53C96">
        <w:rPr>
          <w:rFonts w:cstheme="minorHAnsi"/>
          <w:lang w:val="en-US"/>
        </w:rPr>
        <w:t xml:space="preserve">In this paper, I want to interpret Bonhoeffer’s concern in his final years for the </w:t>
      </w:r>
      <w:r w:rsidRPr="00BA6353">
        <w:rPr>
          <w:rFonts w:cstheme="minorHAnsi"/>
          <w:lang w:val="en-US"/>
        </w:rPr>
        <w:t>“</w:t>
      </w:r>
      <w:r w:rsidRPr="00F53C96">
        <w:rPr>
          <w:rFonts w:cstheme="minorHAnsi"/>
          <w:lang w:val="en-US"/>
        </w:rPr>
        <w:t>coming generation” as</w:t>
      </w:r>
      <w:r w:rsidRPr="00F53C96">
        <w:rPr>
          <w:rFonts w:cstheme="minorHAnsi"/>
          <w:b/>
          <w:lang w:val="en-US"/>
        </w:rPr>
        <w:t xml:space="preserve"> </w:t>
      </w:r>
      <w:r w:rsidRPr="00F53C96">
        <w:rPr>
          <w:rFonts w:cstheme="minorHAnsi"/>
          <w:lang w:val="en-US"/>
        </w:rPr>
        <w:t xml:space="preserve">the expression of ‘generativity’, a psychological concept developed in life course psychology by Erik H. Erikson and subsequent scholars. I think the concept of generativity is helpful to understand why Bonhoeffer’s concern for the future takes the shape of an ethics of intergenerational responsibility. In peaceful times generativity is supposed to be a psychological motive in people in their late adulthood; Bonhoeffer is driven by the same urge already in his early thirties. </w:t>
      </w:r>
    </w:p>
    <w:p w:rsidR="00F53C96" w:rsidRPr="00F53C96" w:rsidRDefault="00F53C96" w:rsidP="00F53C96">
      <w:pPr>
        <w:rPr>
          <w:rFonts w:cstheme="minorHAnsi"/>
          <w:lang w:val="en-US"/>
        </w:rPr>
      </w:pPr>
    </w:p>
    <w:p w:rsidR="00F53C96" w:rsidRPr="00F53C96" w:rsidRDefault="00F53C96" w:rsidP="00F53C96">
      <w:pPr>
        <w:pStyle w:val="Lijstalinea"/>
        <w:numPr>
          <w:ilvl w:val="0"/>
          <w:numId w:val="2"/>
        </w:numPr>
        <w:rPr>
          <w:rFonts w:cstheme="minorHAnsi"/>
          <w:i/>
          <w:iCs/>
          <w:lang w:val="en-US"/>
        </w:rPr>
      </w:pPr>
      <w:r w:rsidRPr="00F53C96">
        <w:rPr>
          <w:rFonts w:cstheme="minorHAnsi"/>
          <w:i/>
          <w:iCs/>
          <w:lang w:val="en-US"/>
        </w:rPr>
        <w:t>“Longing to have a child”</w:t>
      </w:r>
    </w:p>
    <w:p w:rsidR="00F53C96" w:rsidRPr="00F53C96" w:rsidRDefault="00F53C96" w:rsidP="00F53C96">
      <w:pPr>
        <w:rPr>
          <w:rFonts w:cstheme="minorHAnsi"/>
          <w:lang w:val="en-US"/>
        </w:rPr>
      </w:pPr>
    </w:p>
    <w:p w:rsidR="00F53C96" w:rsidRPr="00F53C96" w:rsidRDefault="00F53C96" w:rsidP="00F53C96">
      <w:pPr>
        <w:rPr>
          <w:rFonts w:cstheme="minorHAnsi"/>
          <w:lang w:val="en-US"/>
        </w:rPr>
      </w:pPr>
      <w:r w:rsidRPr="00F53C96">
        <w:rPr>
          <w:rFonts w:cstheme="minorHAnsi"/>
          <w:lang w:val="en-US"/>
        </w:rPr>
        <w:t>To make a connection between Dietrich Bonhoeffer, executed at the age of thirty-nine, and gerontology seems far-fetched. But age and chronology often have an accidental relationship: one doesn’t need to be old in order to feel old. The probability of his own imminent death made Bonhoeffer in prison feel as if he had his life behind him.</w:t>
      </w:r>
      <w:r w:rsidRPr="00F53C96">
        <w:rPr>
          <w:rStyle w:val="Voetnootmarkering"/>
          <w:rFonts w:cstheme="minorHAnsi"/>
          <w:lang w:val="en-US"/>
        </w:rPr>
        <w:footnoteReference w:id="1"/>
      </w:r>
    </w:p>
    <w:p w:rsidR="00F53C96" w:rsidRPr="00F53C96" w:rsidRDefault="00F53C96" w:rsidP="00F53C96">
      <w:pPr>
        <w:rPr>
          <w:rFonts w:cstheme="minorHAnsi"/>
          <w:color w:val="000000" w:themeColor="text1"/>
          <w:lang w:val="en-US"/>
        </w:rPr>
      </w:pPr>
      <w:r w:rsidRPr="00F53C96">
        <w:rPr>
          <w:rFonts w:cstheme="minorHAnsi"/>
          <w:lang w:val="en-US"/>
        </w:rPr>
        <w:t xml:space="preserve">Bonhoeffer is exceptional, not only because of his precocious adulthood (he completed his dissertation at the age of twenty-one), but also because he felt old so young. In prison he was haunted by an impossible double bind: at the same time he had to be prepared - and make preparations - for a post-war marriage with his fiancée, Maria von </w:t>
      </w:r>
      <w:proofErr w:type="spellStart"/>
      <w:r w:rsidRPr="00F53C96">
        <w:rPr>
          <w:rFonts w:cstheme="minorHAnsi"/>
          <w:lang w:val="en-US"/>
        </w:rPr>
        <w:t>Wedemeyer</w:t>
      </w:r>
      <w:proofErr w:type="spellEnd"/>
      <w:r w:rsidRPr="00F53C96">
        <w:rPr>
          <w:rFonts w:cstheme="minorHAnsi"/>
          <w:lang w:val="en-US"/>
        </w:rPr>
        <w:t xml:space="preserve">, half of his age, and be ready for an untimely death, when the trial would turn out wrong. The ambivalence is strikingly voiced in the letter of December 15, 1943, to </w:t>
      </w:r>
      <w:proofErr w:type="spellStart"/>
      <w:r w:rsidRPr="00F53C96">
        <w:rPr>
          <w:rFonts w:cstheme="minorHAnsi"/>
          <w:lang w:val="en-US"/>
        </w:rPr>
        <w:t>Bethge</w:t>
      </w:r>
      <w:proofErr w:type="spellEnd"/>
      <w:r w:rsidRPr="00F53C96">
        <w:rPr>
          <w:rFonts w:cstheme="minorHAnsi"/>
          <w:lang w:val="en-US"/>
        </w:rPr>
        <w:t>, in which he openly airs his longing for being intimate with Maria without the military restrictions of the visit hours.</w:t>
      </w:r>
      <w:r w:rsidRPr="00F53C96">
        <w:rPr>
          <w:rStyle w:val="Voetnootmarkering"/>
          <w:rFonts w:cstheme="minorHAnsi"/>
          <w:lang w:val="en-US"/>
        </w:rPr>
        <w:footnoteReference w:id="2"/>
      </w:r>
      <w:r w:rsidRPr="00F53C96">
        <w:rPr>
          <w:rFonts w:cstheme="minorHAnsi"/>
          <w:lang w:val="en-US"/>
        </w:rPr>
        <w:t xml:space="preserve"> He expresses, on the one hand, his wish to get married soon after his release so that they both would actually start getting to know each other. The impatience of a young man in love. On the other hand, his mind is overtaken by resignation and the expectance of a near death. Old man Bonhoeffer. He openly admits to </w:t>
      </w:r>
      <w:proofErr w:type="spellStart"/>
      <w:r w:rsidRPr="00F53C96">
        <w:rPr>
          <w:rFonts w:cstheme="minorHAnsi"/>
          <w:lang w:val="en-US"/>
        </w:rPr>
        <w:t>Bethge</w:t>
      </w:r>
      <w:proofErr w:type="spellEnd"/>
      <w:r w:rsidRPr="00F53C96">
        <w:rPr>
          <w:rFonts w:cstheme="minorHAnsi"/>
          <w:lang w:val="en-US"/>
        </w:rPr>
        <w:t xml:space="preserve">, who married in the past year (May 1943) and was expecting his first child (May 1944):  </w:t>
      </w:r>
      <w:r w:rsidR="00BA6353">
        <w:rPr>
          <w:rFonts w:cstheme="minorHAnsi"/>
          <w:lang w:val="en-US"/>
        </w:rPr>
        <w:t>‘</w:t>
      </w:r>
      <w:r w:rsidRPr="00F53C96">
        <w:rPr>
          <w:rFonts w:cstheme="minorHAnsi"/>
          <w:color w:val="000000" w:themeColor="text1"/>
          <w:lang w:val="en-US"/>
        </w:rPr>
        <w:t>Sometimes the age difference also disturbs me again, especially since I have the feeling that I am becoming significantly older here and sometimes think my life is more or less behind me and all I have left to do is to complete my </w:t>
      </w:r>
      <w:r w:rsidRPr="00F53C96">
        <w:rPr>
          <w:rFonts w:cstheme="minorHAnsi"/>
          <w:i/>
          <w:iCs/>
          <w:color w:val="000000" w:themeColor="text1"/>
          <w:lang w:val="en-US"/>
        </w:rPr>
        <w:t>Ethics</w:t>
      </w:r>
      <w:r w:rsidRPr="00F53C96">
        <w:rPr>
          <w:rFonts w:cstheme="minorHAnsi"/>
          <w:color w:val="000000" w:themeColor="text1"/>
          <w:lang w:val="en-US"/>
        </w:rPr>
        <w:t xml:space="preserve">. But you know, in such moments I am gripped with an incomparable longing to have a child </w:t>
      </w:r>
      <w:r w:rsidRPr="00F53C96">
        <w:rPr>
          <w:rFonts w:cstheme="minorHAnsi"/>
          <w:color w:val="000000" w:themeColor="text1"/>
          <w:lang w:val="en-US"/>
        </w:rPr>
        <w:lastRenderedPageBreak/>
        <w:t>and not to vanish without a trace—probably more of an Old Testament wish than a New Testament one.</w:t>
      </w:r>
      <w:r w:rsidR="00BA6353">
        <w:rPr>
          <w:rFonts w:cstheme="minorHAnsi"/>
          <w:color w:val="000000" w:themeColor="text1"/>
          <w:lang w:val="en-US"/>
        </w:rPr>
        <w:t>’</w:t>
      </w:r>
      <w:r w:rsidRPr="00F53C96">
        <w:rPr>
          <w:rFonts w:cstheme="minorHAnsi"/>
          <w:color w:val="000000" w:themeColor="text1"/>
          <w:lang w:val="en-US"/>
        </w:rPr>
        <w:t xml:space="preserve"> (DBWE 8</w:t>
      </w:r>
      <w:r w:rsidR="00DE3040">
        <w:rPr>
          <w:rFonts w:cstheme="minorHAnsi"/>
          <w:color w:val="000000" w:themeColor="text1"/>
          <w:lang w:val="en-US"/>
        </w:rPr>
        <w:t xml:space="preserve">: </w:t>
      </w:r>
      <w:r w:rsidRPr="00F53C96">
        <w:rPr>
          <w:rFonts w:cstheme="minorHAnsi"/>
          <w:color w:val="000000" w:themeColor="text1"/>
          <w:lang w:val="en-US"/>
        </w:rPr>
        <w:t>222</w:t>
      </w:r>
      <w:r w:rsidR="00DE3040">
        <w:rPr>
          <w:rFonts w:cstheme="minorHAnsi"/>
          <w:color w:val="000000" w:themeColor="text1"/>
          <w:lang w:val="en-US"/>
        </w:rPr>
        <w:t xml:space="preserve"> (</w:t>
      </w:r>
      <w:r w:rsidRPr="00F53C96">
        <w:rPr>
          <w:rFonts w:cstheme="minorHAnsi"/>
          <w:color w:val="000000" w:themeColor="text1"/>
          <w:lang w:val="en-US"/>
        </w:rPr>
        <w:t>December 15, 1943</w:t>
      </w:r>
      <w:r w:rsidR="00DE3040">
        <w:rPr>
          <w:rFonts w:cstheme="minorHAnsi"/>
          <w:color w:val="000000" w:themeColor="text1"/>
          <w:lang w:val="en-US"/>
        </w:rPr>
        <w:t>)</w:t>
      </w:r>
      <w:r w:rsidRPr="00F53C96">
        <w:rPr>
          <w:rFonts w:cstheme="minorHAnsi"/>
          <w:color w:val="000000" w:themeColor="text1"/>
          <w:lang w:val="en-US"/>
        </w:rPr>
        <w:t>)</w:t>
      </w:r>
    </w:p>
    <w:p w:rsidR="00F53C96" w:rsidRPr="00F53C96" w:rsidRDefault="00F53C96" w:rsidP="00F53C96">
      <w:pPr>
        <w:rPr>
          <w:rFonts w:cstheme="minorHAnsi"/>
          <w:lang w:val="en-US"/>
        </w:rPr>
      </w:pPr>
    </w:p>
    <w:p w:rsidR="00F53C96" w:rsidRPr="00F53C96" w:rsidRDefault="00F53C96" w:rsidP="00F53C96">
      <w:pPr>
        <w:rPr>
          <w:rFonts w:cstheme="minorHAnsi"/>
          <w:color w:val="000000" w:themeColor="text1"/>
          <w:lang w:val="en-US"/>
        </w:rPr>
      </w:pPr>
      <w:r w:rsidRPr="00F53C96">
        <w:rPr>
          <w:rFonts w:cstheme="minorHAnsi"/>
          <w:lang w:val="en-US"/>
        </w:rPr>
        <w:t xml:space="preserve">The unbearable tension between the expectation of an imminent death and the lust for a life of young lovers, between the old and the young man Bonhoeffer, is solved and canalized in one single wish: </w:t>
      </w:r>
      <w:r w:rsidRPr="00F53C96">
        <w:rPr>
          <w:rFonts w:cstheme="minorHAnsi"/>
          <w:color w:val="000000" w:themeColor="text1"/>
          <w:lang w:val="en-US"/>
        </w:rPr>
        <w:t xml:space="preserve">a longing to have a child and not to vanish without a trace. </w:t>
      </w:r>
    </w:p>
    <w:p w:rsidR="00F53C96" w:rsidRPr="00F53C96" w:rsidRDefault="00F53C96" w:rsidP="00F53C96">
      <w:pPr>
        <w:rPr>
          <w:rFonts w:cstheme="minorHAnsi"/>
          <w:lang w:val="en-US"/>
        </w:rPr>
      </w:pPr>
      <w:r w:rsidRPr="00F53C96">
        <w:rPr>
          <w:rFonts w:cstheme="minorHAnsi"/>
          <w:lang w:val="en-US"/>
        </w:rPr>
        <w:t xml:space="preserve">The concept of ‘generativity’ as developed in lifespan psychology </w:t>
      </w:r>
      <w:r w:rsidRPr="00F53C96">
        <w:rPr>
          <w:rFonts w:eastAsia="Times New Roman" w:cstheme="minorHAnsi"/>
          <w:color w:val="000000"/>
          <w:shd w:val="clear" w:color="auto" w:fill="FFFFFF"/>
          <w:lang w:val="en-US" w:eastAsia="nl-NL"/>
        </w:rPr>
        <w:t xml:space="preserve">may </w:t>
      </w:r>
      <w:r w:rsidRPr="00F53C96">
        <w:rPr>
          <w:rFonts w:cstheme="minorHAnsi"/>
          <w:lang w:val="en-US"/>
        </w:rPr>
        <w:t xml:space="preserve">elucidate both Bonhoeffer’s concern for the coming generation, his longing for a child, his wish to finish his book and clarify the connection between these different desires. </w:t>
      </w:r>
    </w:p>
    <w:p w:rsidR="00F53C96" w:rsidRPr="00F53C96" w:rsidRDefault="00F53C96" w:rsidP="00F53C96">
      <w:pPr>
        <w:rPr>
          <w:rFonts w:cstheme="minorHAnsi"/>
          <w:lang w:val="en-US"/>
        </w:rPr>
      </w:pPr>
    </w:p>
    <w:p w:rsidR="00F53C96" w:rsidRPr="00F53C96" w:rsidRDefault="00F53C96" w:rsidP="00F53C96">
      <w:pPr>
        <w:rPr>
          <w:rFonts w:cstheme="minorHAnsi"/>
          <w:lang w:val="en-US"/>
        </w:rPr>
      </w:pPr>
      <w:r w:rsidRPr="00F53C96">
        <w:rPr>
          <w:rFonts w:cstheme="minorHAnsi"/>
          <w:lang w:val="en-US"/>
        </w:rPr>
        <w:t xml:space="preserve">Generativity may be defined as the </w:t>
      </w:r>
      <w:r w:rsidR="00BA6353">
        <w:rPr>
          <w:rFonts w:cstheme="minorHAnsi"/>
          <w:lang w:val="en-US"/>
        </w:rPr>
        <w:t>‘</w:t>
      </w:r>
      <w:r w:rsidRPr="00F53C96">
        <w:rPr>
          <w:rFonts w:eastAsia="Times New Roman" w:cstheme="minorHAnsi"/>
          <w:color w:val="000000"/>
          <w:shd w:val="clear" w:color="auto" w:fill="FFFFFF"/>
          <w:lang w:val="en-US" w:eastAsia="nl-NL"/>
        </w:rPr>
        <w:t>desire to invest one’s substance in forms of life and work that will outlive the self</w:t>
      </w:r>
      <w:r w:rsidR="00BA6353">
        <w:rPr>
          <w:rFonts w:eastAsia="Times New Roman" w:cstheme="minorHAnsi"/>
          <w:color w:val="000000"/>
          <w:shd w:val="clear" w:color="auto" w:fill="FFFFFF"/>
          <w:lang w:val="en-US" w:eastAsia="nl-NL"/>
        </w:rPr>
        <w:t>’</w:t>
      </w:r>
      <w:r w:rsidR="00095563">
        <w:rPr>
          <w:rFonts w:eastAsia="Times New Roman" w:cstheme="minorHAnsi"/>
          <w:color w:val="000000"/>
          <w:shd w:val="clear" w:color="auto" w:fill="FFFFFF"/>
          <w:lang w:val="en-US" w:eastAsia="nl-NL"/>
        </w:rPr>
        <w:t>.</w:t>
      </w:r>
      <w:r w:rsidR="00095563">
        <w:rPr>
          <w:rStyle w:val="Voetnootmarkering"/>
          <w:rFonts w:eastAsia="Times New Roman" w:cstheme="minorHAnsi"/>
          <w:color w:val="000000"/>
          <w:shd w:val="clear" w:color="auto" w:fill="FFFFFF"/>
          <w:lang w:val="en-US" w:eastAsia="nl-NL"/>
        </w:rPr>
        <w:footnoteReference w:id="3"/>
      </w:r>
      <w:r w:rsidR="00095563">
        <w:rPr>
          <w:rFonts w:eastAsia="Times New Roman" w:cstheme="minorHAnsi"/>
          <w:color w:val="000000"/>
          <w:shd w:val="clear" w:color="auto" w:fill="FFFFFF"/>
          <w:lang w:val="en-US" w:eastAsia="nl-NL"/>
        </w:rPr>
        <w:t xml:space="preserve"> </w:t>
      </w:r>
      <w:r w:rsidRPr="00F53C96">
        <w:rPr>
          <w:rFonts w:eastAsia="Times New Roman" w:cstheme="minorHAnsi"/>
          <w:color w:val="000000"/>
          <w:shd w:val="clear" w:color="auto" w:fill="FFFFFF"/>
          <w:lang w:val="en-US" w:eastAsia="nl-NL"/>
        </w:rPr>
        <w:t xml:space="preserve">However not explicitly coined as a concept, the desire for generativity is well known in the history of philosophy, ever since Plato. In his </w:t>
      </w:r>
      <w:r w:rsidRPr="00F53C96">
        <w:rPr>
          <w:rFonts w:eastAsia="Times New Roman" w:cstheme="minorHAnsi"/>
          <w:i/>
          <w:iCs/>
          <w:color w:val="000000"/>
          <w:shd w:val="clear" w:color="auto" w:fill="FFFFFF"/>
          <w:lang w:val="en-US" w:eastAsia="nl-NL"/>
        </w:rPr>
        <w:t>Symposium</w:t>
      </w:r>
      <w:r w:rsidRPr="00F53C96">
        <w:rPr>
          <w:rFonts w:eastAsia="Times New Roman" w:cstheme="minorHAnsi"/>
          <w:color w:val="000000"/>
          <w:shd w:val="clear" w:color="auto" w:fill="FFFFFF"/>
          <w:lang w:val="en-US" w:eastAsia="nl-NL"/>
        </w:rPr>
        <w:t>, Plato speaks about how love strives for immortality</w:t>
      </w:r>
      <w:r w:rsidRPr="00F53C96">
        <w:rPr>
          <w:rFonts w:cstheme="minorHAnsi"/>
          <w:lang w:val="en-US"/>
        </w:rPr>
        <w:t>.  There is a certain age at which</w:t>
      </w:r>
      <w:r w:rsidRPr="00F53C96">
        <w:rPr>
          <w:rFonts w:eastAsia="Times New Roman" w:cstheme="minorHAnsi"/>
          <w:color w:val="000000"/>
          <w:shd w:val="clear" w:color="auto" w:fill="FFFFFF"/>
          <w:lang w:val="en-US" w:eastAsia="nl-NL"/>
        </w:rPr>
        <w:t xml:space="preserve"> </w:t>
      </w:r>
      <w:r w:rsidRPr="00F53C96">
        <w:rPr>
          <w:rFonts w:cstheme="minorHAnsi"/>
          <w:lang w:val="en-US"/>
        </w:rPr>
        <w:t>human nature is desirous of procreation— and that we want to give ‘birth in beauty, whether of body or of soul.</w:t>
      </w:r>
      <w:r w:rsidR="00BA6353">
        <w:rPr>
          <w:rFonts w:cstheme="minorHAnsi"/>
          <w:lang w:val="en-US"/>
        </w:rPr>
        <w:t>’</w:t>
      </w:r>
      <w:r w:rsidRPr="00F53C96">
        <w:rPr>
          <w:rFonts w:cstheme="minorHAnsi"/>
          <w:lang w:val="en-US"/>
        </w:rPr>
        <w:t xml:space="preserve"> Though it is made concrete in the birth of a child, it transcends biology and the evolutionary survival of our individual genes. </w:t>
      </w:r>
      <w:r w:rsidR="00BA6353">
        <w:rPr>
          <w:rFonts w:cstheme="minorHAnsi"/>
          <w:lang w:val="en-US"/>
        </w:rPr>
        <w:t>‘</w:t>
      </w:r>
      <w:r w:rsidRPr="00F53C96">
        <w:rPr>
          <w:rFonts w:cstheme="minorHAnsi"/>
          <w:lang w:val="en-US"/>
        </w:rPr>
        <w:t>To the mortal creature generation is a sort of eternity and immortality.</w:t>
      </w:r>
      <w:r w:rsidR="00BA6353">
        <w:rPr>
          <w:rFonts w:cstheme="minorHAnsi"/>
          <w:lang w:val="en-US"/>
        </w:rPr>
        <w:t>’</w:t>
      </w:r>
      <w:r w:rsidRPr="00F53C96">
        <w:rPr>
          <w:rStyle w:val="Voetnootmarkering"/>
          <w:rFonts w:cstheme="minorHAnsi"/>
          <w:lang w:val="en-US"/>
        </w:rPr>
        <w:footnoteReference w:id="4"/>
      </w:r>
    </w:p>
    <w:p w:rsidR="00F53C96" w:rsidRPr="00F53C96" w:rsidRDefault="00F53C96" w:rsidP="00F53C96">
      <w:pPr>
        <w:rPr>
          <w:rFonts w:cstheme="minorHAnsi"/>
          <w:lang w:val="en-US"/>
        </w:rPr>
      </w:pPr>
      <w:r w:rsidRPr="00F53C96">
        <w:rPr>
          <w:rFonts w:cstheme="minorHAnsi"/>
          <w:lang w:val="en-US"/>
        </w:rPr>
        <w:t xml:space="preserve">Erik H. Erikson was the first to acknowledge and explore its fundamental meaning within the context of an individual life course. In </w:t>
      </w:r>
      <w:r w:rsidRPr="00F53C96">
        <w:rPr>
          <w:rFonts w:cstheme="minorHAnsi"/>
          <w:i/>
          <w:iCs/>
          <w:lang w:val="en-US"/>
        </w:rPr>
        <w:t>Childhood and Society</w:t>
      </w:r>
      <w:r w:rsidRPr="00F53C96">
        <w:rPr>
          <w:rFonts w:cstheme="minorHAnsi"/>
          <w:lang w:val="en-US"/>
        </w:rPr>
        <w:t xml:space="preserve"> (</w:t>
      </w:r>
      <w:r w:rsidR="00BA6353">
        <w:rPr>
          <w:rFonts w:cstheme="minorHAnsi"/>
          <w:lang w:val="en-US"/>
        </w:rPr>
        <w:t xml:space="preserve">first edition </w:t>
      </w:r>
      <w:r w:rsidRPr="00F53C96">
        <w:rPr>
          <w:rFonts w:cstheme="minorHAnsi"/>
          <w:lang w:val="en-US"/>
        </w:rPr>
        <w:t xml:space="preserve">1950), he identified generativity as the defining psychosocial feature of midlife. It is in the middle-adult years, Erikson maintained, that men and women are most likely to be concerned about the well-being of future generations and involved in various life projects, from parenting to political action, aimed at generating a positive legacy that will ultimately outlive the self. In the first half of their lives, younger adults are involved in building up strong personal identities. They are ego centered, and they have to be. In their final days, close to death and taking stock of life, the question whether they lived a meaningful life and which legacy they leave behind comes to the fore. </w:t>
      </w:r>
    </w:p>
    <w:p w:rsidR="00F53C96" w:rsidRPr="00F53C96" w:rsidRDefault="00F53C96" w:rsidP="00F53C96">
      <w:pPr>
        <w:rPr>
          <w:rFonts w:cstheme="minorHAnsi"/>
          <w:lang w:val="en-US"/>
        </w:rPr>
      </w:pPr>
      <w:r w:rsidRPr="00F53C96">
        <w:rPr>
          <w:rFonts w:cstheme="minorHAnsi"/>
          <w:lang w:val="en-US"/>
        </w:rPr>
        <w:t xml:space="preserve">Generativity, then, according to Erikson, is </w:t>
      </w:r>
      <w:r w:rsidR="00BA6353">
        <w:rPr>
          <w:rFonts w:cstheme="minorHAnsi"/>
          <w:lang w:val="en-US"/>
        </w:rPr>
        <w:t>‘</w:t>
      </w:r>
      <w:r w:rsidRPr="00F53C96">
        <w:rPr>
          <w:rFonts w:cstheme="minorHAnsi"/>
          <w:lang w:val="en-US"/>
        </w:rPr>
        <w:t>primarily the concern in establishing and guiding the next generation</w:t>
      </w:r>
      <w:r w:rsidR="00BA6353">
        <w:rPr>
          <w:rFonts w:cstheme="minorHAnsi"/>
          <w:lang w:val="en-US"/>
        </w:rPr>
        <w:t>’</w:t>
      </w:r>
      <w:r w:rsidRPr="00F53C96">
        <w:rPr>
          <w:rFonts w:cstheme="minorHAnsi"/>
          <w:lang w:val="en-US"/>
        </w:rPr>
        <w:t>. Creating an offspring and raising children is the prototypical form, but generativity is also exemplified by other kinds of creativity and productivity</w:t>
      </w:r>
      <w:r w:rsidR="00BA6353">
        <w:rPr>
          <w:rFonts w:cstheme="minorHAnsi"/>
          <w:lang w:val="en-US"/>
        </w:rPr>
        <w:t>.</w:t>
      </w:r>
      <w:r w:rsidRPr="00F53C96">
        <w:rPr>
          <w:rFonts w:cstheme="minorHAnsi"/>
          <w:lang w:val="en-US"/>
        </w:rPr>
        <w:t xml:space="preserve"> </w:t>
      </w:r>
      <w:r w:rsidR="00BA6353">
        <w:rPr>
          <w:rStyle w:val="Voetnootmarkering"/>
          <w:rFonts w:cstheme="minorHAnsi"/>
          <w:lang w:val="en-US"/>
        </w:rPr>
        <w:footnoteReference w:id="5"/>
      </w:r>
      <w:r w:rsidRPr="00F53C96">
        <w:rPr>
          <w:rFonts w:cstheme="minorHAnsi"/>
          <w:lang w:val="en-US"/>
        </w:rPr>
        <w:t xml:space="preserve"> In his book </w:t>
      </w:r>
      <w:r w:rsidRPr="00F53C96">
        <w:rPr>
          <w:rFonts w:cstheme="minorHAnsi"/>
          <w:i/>
          <w:iCs/>
          <w:lang w:val="en-US"/>
        </w:rPr>
        <w:t>Gandhi’s Truth</w:t>
      </w:r>
      <w:r w:rsidRPr="00F53C96">
        <w:rPr>
          <w:rFonts w:cstheme="minorHAnsi"/>
          <w:lang w:val="en-US"/>
        </w:rPr>
        <w:t xml:space="preserve"> (1969), Erikson showed how, as a spiritual leader and a fatherly caregiver for his own people, Gandhi played out his generativity as a public affair, even as he failed to be a good father to his biological children at home.</w:t>
      </w:r>
      <w:r w:rsidRPr="00F53C96">
        <w:rPr>
          <w:rStyle w:val="Voetnootmarkering"/>
          <w:rFonts w:cstheme="minorHAnsi"/>
          <w:lang w:val="en-US"/>
        </w:rPr>
        <w:footnoteReference w:id="6"/>
      </w:r>
    </w:p>
    <w:p w:rsidR="00F53C96" w:rsidRPr="00F53C96" w:rsidRDefault="00F53C96" w:rsidP="00F53C96">
      <w:pPr>
        <w:autoSpaceDE w:val="0"/>
        <w:autoSpaceDN w:val="0"/>
        <w:adjustRightInd w:val="0"/>
        <w:rPr>
          <w:rFonts w:cstheme="minorHAnsi"/>
          <w:color w:val="000000" w:themeColor="text1"/>
          <w:shd w:val="clear" w:color="auto" w:fill="FFFFFF"/>
          <w:lang w:val="en-US"/>
        </w:rPr>
      </w:pPr>
      <w:r w:rsidRPr="00F53C96">
        <w:rPr>
          <w:rFonts w:cstheme="minorHAnsi"/>
          <w:lang w:val="en-US"/>
        </w:rPr>
        <w:lastRenderedPageBreak/>
        <w:t>Would Erikson have been aware of his work and biography, he might also have taken Bonhoeffer as a an example of an exceptionally generative person: though he never had the child he’d wished, as a leader in the church struggle  and member of the resistance movement he had been driven</w:t>
      </w:r>
      <w:r w:rsidR="00BA6353">
        <w:rPr>
          <w:rFonts w:cstheme="minorHAnsi"/>
          <w:lang w:val="en-US"/>
        </w:rPr>
        <w:t xml:space="preserve">, as he </w:t>
      </w:r>
      <w:r w:rsidR="00973AF2">
        <w:rPr>
          <w:rFonts w:cstheme="minorHAnsi"/>
          <w:lang w:val="en-US"/>
        </w:rPr>
        <w:t xml:space="preserve">declares </w:t>
      </w:r>
      <w:r w:rsidR="00BA6353">
        <w:rPr>
          <w:rFonts w:cstheme="minorHAnsi"/>
          <w:lang w:val="en-US"/>
        </w:rPr>
        <w:t xml:space="preserve">in his </w:t>
      </w:r>
      <w:r w:rsidR="00BA6353" w:rsidRPr="00F53C96">
        <w:rPr>
          <w:rFonts w:cstheme="minorHAnsi"/>
          <w:color w:val="000000" w:themeColor="text1"/>
          <w:shd w:val="clear" w:color="auto" w:fill="FFFFFF"/>
          <w:lang w:val="en-US"/>
        </w:rPr>
        <w:t>Account at the Turn of the Year 1942 – 143</w:t>
      </w:r>
      <w:r w:rsidR="00BA6353">
        <w:rPr>
          <w:rFonts w:cstheme="minorHAnsi"/>
          <w:color w:val="000000" w:themeColor="text1"/>
          <w:shd w:val="clear" w:color="auto" w:fill="FFFFFF"/>
          <w:lang w:val="en-US"/>
        </w:rPr>
        <w:t xml:space="preserve">, </w:t>
      </w:r>
      <w:r w:rsidRPr="00F53C96">
        <w:rPr>
          <w:rFonts w:cstheme="minorHAnsi"/>
          <w:lang w:val="en-US"/>
        </w:rPr>
        <w:t xml:space="preserve">by </w:t>
      </w:r>
      <w:r w:rsidR="00BA6353">
        <w:rPr>
          <w:rFonts w:cstheme="minorHAnsi"/>
          <w:lang w:val="en-US"/>
        </w:rPr>
        <w:t>‘</w:t>
      </w:r>
      <w:r w:rsidRPr="00F53C96">
        <w:rPr>
          <w:rFonts w:cstheme="minorHAnsi"/>
          <w:lang w:val="en-US"/>
        </w:rPr>
        <w:t xml:space="preserve">the </w:t>
      </w:r>
      <w:r w:rsidRPr="00F53C96">
        <w:rPr>
          <w:rFonts w:cstheme="minorHAnsi"/>
          <w:color w:val="000000" w:themeColor="text1"/>
          <w:shd w:val="clear" w:color="auto" w:fill="FFFFFF"/>
          <w:lang w:val="en-US"/>
        </w:rPr>
        <w:t>ultimately responsible question not how I extricate myself heroically from a situation but [how] a </w:t>
      </w:r>
      <w:r w:rsidRPr="00F53C96">
        <w:rPr>
          <w:rStyle w:val="highlight"/>
          <w:rFonts w:cstheme="minorHAnsi"/>
          <w:color w:val="000000" w:themeColor="text1"/>
          <w:shd w:val="clear" w:color="auto" w:fill="FFFFFF"/>
          <w:lang w:val="en-US"/>
        </w:rPr>
        <w:t>coming</w:t>
      </w:r>
      <w:r w:rsidRPr="00F53C96">
        <w:rPr>
          <w:rFonts w:cstheme="minorHAnsi"/>
          <w:color w:val="000000" w:themeColor="text1"/>
          <w:shd w:val="clear" w:color="auto" w:fill="FFFFFF"/>
          <w:lang w:val="en-US"/>
        </w:rPr>
        <w:t> </w:t>
      </w:r>
      <w:r w:rsidRPr="00F53C96">
        <w:rPr>
          <w:rStyle w:val="highlight"/>
          <w:rFonts w:cstheme="minorHAnsi"/>
          <w:color w:val="000000" w:themeColor="text1"/>
          <w:shd w:val="clear" w:color="auto" w:fill="FFFFFF"/>
          <w:lang w:val="en-US"/>
        </w:rPr>
        <w:t>generation</w:t>
      </w:r>
      <w:r w:rsidRPr="00F53C96">
        <w:rPr>
          <w:rFonts w:cstheme="minorHAnsi"/>
          <w:color w:val="000000" w:themeColor="text1"/>
          <w:shd w:val="clear" w:color="auto" w:fill="FFFFFF"/>
          <w:lang w:val="en-US"/>
        </w:rPr>
        <w:t> is to go on living.</w:t>
      </w:r>
      <w:r w:rsidR="00BA6353">
        <w:rPr>
          <w:rFonts w:cstheme="minorHAnsi"/>
          <w:color w:val="000000" w:themeColor="text1"/>
          <w:shd w:val="clear" w:color="auto" w:fill="FFFFFF"/>
          <w:lang w:val="en-US"/>
        </w:rPr>
        <w:t>’</w:t>
      </w:r>
      <w:r w:rsidRPr="00F53C96">
        <w:rPr>
          <w:rFonts w:cstheme="minorHAnsi"/>
          <w:color w:val="000000" w:themeColor="text1"/>
          <w:shd w:val="clear" w:color="auto" w:fill="FFFFFF"/>
          <w:lang w:val="en-US"/>
        </w:rPr>
        <w:t xml:space="preserve"> (DBWE 8</w:t>
      </w:r>
      <w:r w:rsidR="00BA6353">
        <w:rPr>
          <w:rFonts w:cstheme="minorHAnsi"/>
          <w:color w:val="000000" w:themeColor="text1"/>
          <w:shd w:val="clear" w:color="auto" w:fill="FFFFFF"/>
          <w:lang w:val="en-US"/>
        </w:rPr>
        <w:t xml:space="preserve">: </w:t>
      </w:r>
      <w:r w:rsidRPr="00F53C96">
        <w:rPr>
          <w:rFonts w:cstheme="minorHAnsi"/>
          <w:color w:val="000000" w:themeColor="text1"/>
          <w:shd w:val="clear" w:color="auto" w:fill="FFFFFF"/>
          <w:lang w:val="en-US"/>
        </w:rPr>
        <w:t>42).</w:t>
      </w:r>
      <w:r w:rsidRPr="00F53C96">
        <w:rPr>
          <w:rStyle w:val="Voetnootmarkering"/>
          <w:rFonts w:cstheme="minorHAnsi"/>
          <w:color w:val="000000" w:themeColor="text1"/>
          <w:shd w:val="clear" w:color="auto" w:fill="FFFFFF"/>
          <w:lang w:val="en-US"/>
        </w:rPr>
        <w:footnoteReference w:id="7"/>
      </w:r>
      <w:r w:rsidRPr="00F53C96">
        <w:rPr>
          <w:rFonts w:cstheme="minorHAnsi"/>
          <w:color w:val="000000" w:themeColor="text1"/>
          <w:shd w:val="clear" w:color="auto" w:fill="FFFFFF"/>
          <w:lang w:val="en-US"/>
        </w:rPr>
        <w:t xml:space="preserve"> </w:t>
      </w:r>
    </w:p>
    <w:p w:rsidR="00F53C96" w:rsidRPr="00F53C96" w:rsidRDefault="00F53C96" w:rsidP="00F53C96">
      <w:pPr>
        <w:autoSpaceDE w:val="0"/>
        <w:autoSpaceDN w:val="0"/>
        <w:adjustRightInd w:val="0"/>
        <w:rPr>
          <w:rFonts w:cstheme="minorHAnsi"/>
          <w:color w:val="000000" w:themeColor="text1"/>
          <w:shd w:val="clear" w:color="auto" w:fill="FFFFFF"/>
          <w:lang w:val="en-US"/>
        </w:rPr>
      </w:pPr>
    </w:p>
    <w:p w:rsidR="00F53C96" w:rsidRPr="00F53C96" w:rsidRDefault="00F53C96" w:rsidP="00F53C96">
      <w:pPr>
        <w:pStyle w:val="Lijstalinea"/>
        <w:numPr>
          <w:ilvl w:val="0"/>
          <w:numId w:val="2"/>
        </w:numPr>
        <w:autoSpaceDE w:val="0"/>
        <w:autoSpaceDN w:val="0"/>
        <w:adjustRightInd w:val="0"/>
        <w:rPr>
          <w:rFonts w:cstheme="minorHAnsi"/>
          <w:i/>
          <w:iCs/>
          <w:color w:val="000000" w:themeColor="text1"/>
          <w:shd w:val="clear" w:color="auto" w:fill="FFFFFF"/>
          <w:lang w:val="en-US"/>
        </w:rPr>
      </w:pPr>
      <w:r w:rsidRPr="00F53C96">
        <w:rPr>
          <w:rFonts w:cstheme="minorHAnsi"/>
          <w:i/>
          <w:iCs/>
          <w:color w:val="000000" w:themeColor="text1"/>
          <w:lang w:val="en-US"/>
        </w:rPr>
        <w:t>‘We are merely one link in the chain’</w:t>
      </w:r>
    </w:p>
    <w:p w:rsidR="00F53C96" w:rsidRPr="00F53C96" w:rsidRDefault="00F53C96" w:rsidP="00F53C96">
      <w:pPr>
        <w:pStyle w:val="Lijstalinea"/>
        <w:autoSpaceDE w:val="0"/>
        <w:autoSpaceDN w:val="0"/>
        <w:adjustRightInd w:val="0"/>
        <w:ind w:left="1080"/>
        <w:rPr>
          <w:rFonts w:cstheme="minorHAnsi"/>
          <w:i/>
          <w:iCs/>
          <w:color w:val="000000" w:themeColor="text1"/>
          <w:shd w:val="clear" w:color="auto" w:fill="FFFFFF"/>
          <w:lang w:val="en-US"/>
        </w:rPr>
      </w:pPr>
    </w:p>
    <w:p w:rsidR="00F53C96" w:rsidRPr="00F53C96" w:rsidRDefault="00F53C96" w:rsidP="00F53C96">
      <w:pPr>
        <w:rPr>
          <w:rFonts w:cstheme="minorHAnsi"/>
          <w:lang w:val="en-US"/>
        </w:rPr>
      </w:pPr>
      <w:r w:rsidRPr="00F53C96">
        <w:rPr>
          <w:rFonts w:cstheme="minorHAnsi"/>
          <w:lang w:val="en-US"/>
        </w:rPr>
        <w:t xml:space="preserve">Erikson’s concept of generativity has been theoretically refined and empirically tested by scholars afterwards. Their research enables us to obtain a more accurate understanding of Bonhoeffer’s generativity. Two adjustments of Erikson’s use of the concept are already elucidating in this respect. </w:t>
      </w:r>
    </w:p>
    <w:p w:rsidR="00F53C96" w:rsidRPr="00F53C96" w:rsidRDefault="00F53C96" w:rsidP="00F53C96">
      <w:pPr>
        <w:rPr>
          <w:rFonts w:cstheme="minorHAnsi"/>
          <w:lang w:val="en-US"/>
        </w:rPr>
      </w:pPr>
    </w:p>
    <w:p w:rsidR="00F53C96" w:rsidRPr="00F53C96" w:rsidRDefault="00F53C96" w:rsidP="00F53C96">
      <w:pPr>
        <w:pStyle w:val="Lijstalinea"/>
        <w:numPr>
          <w:ilvl w:val="0"/>
          <w:numId w:val="1"/>
        </w:numPr>
        <w:autoSpaceDE w:val="0"/>
        <w:autoSpaceDN w:val="0"/>
        <w:adjustRightInd w:val="0"/>
        <w:rPr>
          <w:rFonts w:cstheme="minorHAnsi"/>
          <w:lang w:val="en-US"/>
        </w:rPr>
      </w:pPr>
      <w:r w:rsidRPr="00F53C96">
        <w:rPr>
          <w:rFonts w:cstheme="minorHAnsi"/>
          <w:lang w:val="en-US"/>
        </w:rPr>
        <w:t>Erikson’s stage model of the life cycle may reflect a postwar American middle-class white male career but cannot stand for generativity as such. Empirical research shows, for example, that a strict connection between late adulthood and generativity is difficult to uphold.</w:t>
      </w:r>
      <w:r w:rsidRPr="00F53C96">
        <w:rPr>
          <w:rStyle w:val="Voetnootmarkering"/>
          <w:rFonts w:cstheme="minorHAnsi"/>
          <w:lang w:val="en-US"/>
        </w:rPr>
        <w:footnoteReference w:id="8"/>
      </w:r>
      <w:r w:rsidRPr="00F53C96">
        <w:rPr>
          <w:rFonts w:cstheme="minorHAnsi"/>
          <w:lang w:val="en-US"/>
        </w:rPr>
        <w:t xml:space="preserve"> Economic conditions, cultural norms, social change and historical events provide a variety of external contexts for generativity. Gender, race, class/ethnicity and education result in different styles of generativity. Generativity then is not to be seen as a more or less fixed stage in an individual life course, but as a </w:t>
      </w:r>
      <w:r w:rsidRPr="00F53C96">
        <w:rPr>
          <w:rFonts w:cstheme="minorHAnsi"/>
          <w:color w:val="000000" w:themeColor="text1"/>
          <w:lang w:val="en-US"/>
        </w:rPr>
        <w:t xml:space="preserve">highly </w:t>
      </w:r>
      <w:r w:rsidRPr="00F53C96">
        <w:rPr>
          <w:rFonts w:cstheme="minorHAnsi"/>
          <w:i/>
          <w:iCs/>
          <w:color w:val="000000" w:themeColor="text1"/>
          <w:lang w:val="en-US"/>
        </w:rPr>
        <w:t xml:space="preserve">contextual </w:t>
      </w:r>
      <w:r w:rsidRPr="00F53C96">
        <w:rPr>
          <w:rFonts w:cstheme="minorHAnsi"/>
          <w:lang w:val="en-US"/>
        </w:rPr>
        <w:t xml:space="preserve">and therefore </w:t>
      </w:r>
      <w:r w:rsidRPr="00F53C96">
        <w:rPr>
          <w:rFonts w:cstheme="minorHAnsi"/>
          <w:i/>
          <w:iCs/>
          <w:lang w:val="en-US"/>
        </w:rPr>
        <w:t xml:space="preserve">variable </w:t>
      </w:r>
      <w:r w:rsidRPr="00F53C96">
        <w:rPr>
          <w:rFonts w:cstheme="minorHAnsi"/>
          <w:lang w:val="en-US"/>
        </w:rPr>
        <w:t>human expression of intergenerational concern.</w:t>
      </w:r>
      <w:r w:rsidRPr="00F53C96">
        <w:rPr>
          <w:rStyle w:val="Voetnootmarkering"/>
          <w:rFonts w:cstheme="minorHAnsi"/>
          <w:lang w:val="en-US"/>
        </w:rPr>
        <w:footnoteReference w:id="9"/>
      </w:r>
      <w:r w:rsidRPr="00F53C96">
        <w:rPr>
          <w:rFonts w:cstheme="minorHAnsi"/>
          <w:lang w:val="en-US"/>
        </w:rPr>
        <w:t xml:space="preserve"> There are perhaps myriad ways to express one’s concern with the next generation, other than by taking political courageous action. Bonhoeffer’s strong generative consciousness has to be understood against the background of his privileged, educated upbringing in early 20</w:t>
      </w:r>
      <w:r w:rsidRPr="00F53C96">
        <w:rPr>
          <w:rFonts w:cstheme="minorHAnsi"/>
          <w:vertAlign w:val="superscript"/>
          <w:lang w:val="en-US"/>
        </w:rPr>
        <w:t>th</w:t>
      </w:r>
      <w:r w:rsidRPr="00F53C96">
        <w:rPr>
          <w:rFonts w:cstheme="minorHAnsi"/>
          <w:lang w:val="en-US"/>
        </w:rPr>
        <w:t xml:space="preserve"> century Germany, and cannot serve as a model for generativity as such. </w:t>
      </w:r>
    </w:p>
    <w:p w:rsidR="00F53C96" w:rsidRPr="00F53C96" w:rsidRDefault="00F53C96" w:rsidP="00F53C96">
      <w:pPr>
        <w:pStyle w:val="Lijstalinea"/>
        <w:autoSpaceDE w:val="0"/>
        <w:autoSpaceDN w:val="0"/>
        <w:adjustRightInd w:val="0"/>
        <w:rPr>
          <w:rFonts w:cstheme="minorHAnsi"/>
          <w:lang w:val="en-US"/>
        </w:rPr>
      </w:pPr>
    </w:p>
    <w:p w:rsidR="00F53C96" w:rsidRPr="00F53C96" w:rsidRDefault="00F53C96" w:rsidP="00F53C96">
      <w:pPr>
        <w:pStyle w:val="Lijstalinea"/>
        <w:numPr>
          <w:ilvl w:val="0"/>
          <w:numId w:val="1"/>
        </w:numPr>
        <w:autoSpaceDE w:val="0"/>
        <w:autoSpaceDN w:val="0"/>
        <w:adjustRightInd w:val="0"/>
        <w:rPr>
          <w:rFonts w:cstheme="minorHAnsi"/>
          <w:lang w:val="en-US"/>
        </w:rPr>
      </w:pPr>
      <w:r w:rsidRPr="00F53C96">
        <w:rPr>
          <w:rFonts w:cstheme="minorHAnsi"/>
          <w:lang w:val="en-US"/>
        </w:rPr>
        <w:t xml:space="preserve">Furthermore, within this diversity and variability, different styles or modes of generativity can be distinguished, according to the distinction psychologist David </w:t>
      </w:r>
      <w:proofErr w:type="spellStart"/>
      <w:r w:rsidRPr="00F53C96">
        <w:rPr>
          <w:rFonts w:cstheme="minorHAnsi"/>
          <w:lang w:val="en-US"/>
        </w:rPr>
        <w:t>Bakan</w:t>
      </w:r>
      <w:proofErr w:type="spellEnd"/>
      <w:r w:rsidRPr="00F53C96">
        <w:rPr>
          <w:rFonts w:cstheme="minorHAnsi"/>
          <w:lang w:val="en-US"/>
        </w:rPr>
        <w:t xml:space="preserve"> made in describing opposing poles of human endeavor. </w:t>
      </w:r>
      <w:r w:rsidRPr="00F53C96">
        <w:rPr>
          <w:rFonts w:cstheme="minorHAnsi"/>
          <w:i/>
          <w:iCs/>
          <w:lang w:val="en-US"/>
        </w:rPr>
        <w:t>Communal</w:t>
      </w:r>
      <w:r w:rsidRPr="00F53C96">
        <w:rPr>
          <w:rFonts w:cstheme="minorHAnsi"/>
          <w:lang w:val="en-US"/>
        </w:rPr>
        <w:t xml:space="preserve"> modes of generativity, involving self-sacrificing nurturance and care for others on the one hand, and </w:t>
      </w:r>
      <w:r w:rsidRPr="00F53C96">
        <w:rPr>
          <w:rFonts w:cstheme="minorHAnsi"/>
          <w:i/>
          <w:iCs/>
          <w:lang w:val="en-US"/>
        </w:rPr>
        <w:t>agentic</w:t>
      </w:r>
      <w:r w:rsidRPr="00F53C96">
        <w:rPr>
          <w:rFonts w:cstheme="minorHAnsi"/>
          <w:lang w:val="en-US"/>
        </w:rPr>
        <w:t xml:space="preserve"> modes on the other, encompassing creative and/or powerful extensions of the self, as in some forms of leadership, scientific achievement, and so forth. Gender stereotypes would predict that men may express more agentic aspects of generativity while women may show more communal manifestations (</w:t>
      </w:r>
      <w:proofErr w:type="spellStart"/>
      <w:r w:rsidRPr="00F53C96">
        <w:rPr>
          <w:rFonts w:cstheme="minorHAnsi"/>
          <w:lang w:val="en-US"/>
        </w:rPr>
        <w:t>Kotre</w:t>
      </w:r>
      <w:proofErr w:type="spellEnd"/>
      <w:r w:rsidRPr="00F53C96">
        <w:rPr>
          <w:rFonts w:cstheme="minorHAnsi"/>
          <w:lang w:val="en-US"/>
        </w:rPr>
        <w:t xml:space="preserve">, 1984, 17f.). To date, however, little research has directly examined this </w:t>
      </w:r>
      <w:r w:rsidRPr="00F53C96">
        <w:rPr>
          <w:rFonts w:cstheme="minorHAnsi"/>
          <w:lang w:val="en-US"/>
        </w:rPr>
        <w:lastRenderedPageBreak/>
        <w:t xml:space="preserve">claim.  And </w:t>
      </w:r>
      <w:r w:rsidR="00BA6353">
        <w:rPr>
          <w:rFonts w:cstheme="minorHAnsi"/>
          <w:lang w:val="en-US"/>
        </w:rPr>
        <w:t>‘</w:t>
      </w:r>
      <w:r w:rsidRPr="00F53C96">
        <w:rPr>
          <w:rFonts w:cstheme="minorHAnsi"/>
          <w:lang w:val="en-US"/>
        </w:rPr>
        <w:t>many, if not most generative people combine agency and communion in their personalities.</w:t>
      </w:r>
      <w:r w:rsidR="00BA6353">
        <w:rPr>
          <w:rFonts w:cstheme="minorHAnsi"/>
          <w:lang w:val="en-US"/>
        </w:rPr>
        <w:t>’</w:t>
      </w:r>
      <w:r w:rsidRPr="00F53C96">
        <w:rPr>
          <w:rFonts w:cstheme="minorHAnsi"/>
          <w:lang w:val="en-US"/>
        </w:rPr>
        <w:t xml:space="preserve"> (</w:t>
      </w:r>
      <w:proofErr w:type="spellStart"/>
      <w:r w:rsidRPr="00F53C96">
        <w:rPr>
          <w:rFonts w:cstheme="minorHAnsi"/>
          <w:lang w:val="en-US"/>
        </w:rPr>
        <w:t>Kotre</w:t>
      </w:r>
      <w:proofErr w:type="spellEnd"/>
      <w:r w:rsidRPr="00F53C96">
        <w:rPr>
          <w:rFonts w:cstheme="minorHAnsi"/>
          <w:lang w:val="en-US"/>
        </w:rPr>
        <w:t xml:space="preserve">, 1984, 128) With this distinction in mind however, it would be worthwhile to investigate if and how the agentic active style of generativity in Bonhoeffer (‘leaving a trace’) is balanced by a more communal, or kenotic oriented mode, understanding his death as a sacrifice. In </w:t>
      </w:r>
      <w:proofErr w:type="gramStart"/>
      <w:r w:rsidRPr="00F53C96">
        <w:rPr>
          <w:rFonts w:cstheme="minorHAnsi"/>
          <w:lang w:val="en-US"/>
        </w:rPr>
        <w:t>An</w:t>
      </w:r>
      <w:proofErr w:type="gramEnd"/>
      <w:r w:rsidRPr="00F53C96">
        <w:rPr>
          <w:rFonts w:cstheme="minorHAnsi"/>
          <w:lang w:val="en-US"/>
        </w:rPr>
        <w:t xml:space="preserve"> Account at the Turn of the Year 1942-1943 he writes: </w:t>
      </w:r>
      <w:r w:rsidR="00BA6353">
        <w:rPr>
          <w:rFonts w:cstheme="minorHAnsi"/>
          <w:lang w:val="en-US"/>
        </w:rPr>
        <w:t>‘</w:t>
      </w:r>
      <w:r w:rsidRPr="00F53C96">
        <w:rPr>
          <w:rFonts w:cstheme="minorHAnsi"/>
          <w:lang w:val="en-US"/>
        </w:rPr>
        <w:t>It is not external circumstances but we ourselves who shall make of our death what it can be, a death consented to freely and voluntary.</w:t>
      </w:r>
      <w:r w:rsidR="00BA6353">
        <w:rPr>
          <w:rFonts w:cstheme="minorHAnsi"/>
          <w:lang w:val="en-US"/>
        </w:rPr>
        <w:t>’</w:t>
      </w:r>
      <w:r w:rsidRPr="00F53C96">
        <w:rPr>
          <w:rFonts w:cstheme="minorHAnsi"/>
          <w:lang w:val="en-US"/>
        </w:rPr>
        <w:t xml:space="preserve"> (DBWE 8, 51) This investigation cannot be done here. But I think a feminist Bonhoeffer reception could gain from reading his work from the perspective of generativity.</w:t>
      </w:r>
      <w:r w:rsidRPr="00F53C96">
        <w:rPr>
          <w:rStyle w:val="Voetnootmarkering"/>
          <w:rFonts w:cstheme="minorHAnsi"/>
          <w:lang w:val="en-US"/>
        </w:rPr>
        <w:footnoteReference w:id="10"/>
      </w:r>
    </w:p>
    <w:p w:rsidR="00F53C96" w:rsidRPr="00F53C96" w:rsidRDefault="00F53C96" w:rsidP="00F53C96">
      <w:pPr>
        <w:autoSpaceDE w:val="0"/>
        <w:autoSpaceDN w:val="0"/>
        <w:adjustRightInd w:val="0"/>
        <w:rPr>
          <w:rFonts w:cstheme="minorHAnsi"/>
          <w:lang w:val="en-US"/>
        </w:rPr>
      </w:pPr>
    </w:p>
    <w:p w:rsidR="00F53C96" w:rsidRPr="00F53C96" w:rsidRDefault="00F53C96" w:rsidP="00F53C96">
      <w:pPr>
        <w:rPr>
          <w:rFonts w:cstheme="minorHAnsi"/>
          <w:lang w:val="en-US"/>
        </w:rPr>
      </w:pPr>
      <w:r w:rsidRPr="00F53C96">
        <w:rPr>
          <w:rFonts w:cstheme="minorHAnsi"/>
          <w:lang w:val="en-US"/>
        </w:rPr>
        <w:t>Bonhoeffer upbringing in this specific family made him exceptionally aware of the role of successive generations and the importance of intergenerational processes. The extended family around the parent’s home in Berlin cherished the memory of earlier generations and experienced their living together not only synchronically as a caring and nurturing community</w:t>
      </w:r>
      <w:r w:rsidRPr="00F53C96">
        <w:rPr>
          <w:rFonts w:cstheme="minorHAnsi"/>
          <w:b/>
          <w:bCs/>
          <w:lang w:val="en-US"/>
        </w:rPr>
        <w:t xml:space="preserve">, </w:t>
      </w:r>
      <w:r w:rsidRPr="00F53C96">
        <w:rPr>
          <w:rFonts w:cstheme="minorHAnsi"/>
          <w:lang w:val="en-US"/>
        </w:rPr>
        <w:t>but also</w:t>
      </w:r>
      <w:r w:rsidRPr="00F53C96">
        <w:rPr>
          <w:rFonts w:cstheme="minorHAnsi"/>
          <w:b/>
          <w:bCs/>
          <w:lang w:val="en-US"/>
        </w:rPr>
        <w:t xml:space="preserve"> </w:t>
      </w:r>
      <w:r w:rsidRPr="00F53C96">
        <w:rPr>
          <w:rFonts w:cstheme="minorHAnsi"/>
          <w:lang w:val="en-US"/>
        </w:rPr>
        <w:t>diachronically as a sequence of generations, kept together by strains of vicarious responsibility</w:t>
      </w:r>
      <w:r w:rsidRPr="00F53C96">
        <w:rPr>
          <w:rFonts w:cstheme="minorHAnsi"/>
          <w:b/>
          <w:bCs/>
          <w:lang w:val="en-US"/>
        </w:rPr>
        <w:t xml:space="preserve">. </w:t>
      </w:r>
      <w:r w:rsidR="00BA6353">
        <w:rPr>
          <w:rFonts w:cstheme="minorHAnsi"/>
          <w:lang w:val="en-US"/>
        </w:rPr>
        <w:t>‘</w:t>
      </w:r>
      <w:r w:rsidRPr="00F53C96">
        <w:rPr>
          <w:rFonts w:cstheme="minorHAnsi"/>
          <w:color w:val="000000" w:themeColor="text1"/>
          <w:shd w:val="clear" w:color="auto" w:fill="FFFFFF"/>
          <w:lang w:val="en-US"/>
        </w:rPr>
        <w:t>I realized you've pushed our family into the </w:t>
      </w:r>
      <w:r w:rsidRPr="00F53C96">
        <w:rPr>
          <w:rStyle w:val="highlight"/>
          <w:rFonts w:cstheme="minorHAnsi"/>
          <w:color w:val="000000" w:themeColor="text1"/>
          <w:shd w:val="clear" w:color="auto" w:fill="FFFFFF"/>
          <w:lang w:val="en-US"/>
        </w:rPr>
        <w:t>next</w:t>
      </w:r>
      <w:r w:rsidRPr="00F53C96">
        <w:rPr>
          <w:rFonts w:cstheme="minorHAnsi"/>
          <w:color w:val="000000" w:themeColor="text1"/>
          <w:shd w:val="clear" w:color="auto" w:fill="FFFFFF"/>
          <w:lang w:val="en-US"/>
        </w:rPr>
        <w:t> </w:t>
      </w:r>
      <w:r w:rsidRPr="00F53C96">
        <w:rPr>
          <w:rStyle w:val="highlight"/>
          <w:rFonts w:cstheme="minorHAnsi"/>
          <w:color w:val="000000" w:themeColor="text1"/>
          <w:shd w:val="clear" w:color="auto" w:fill="FFFFFF"/>
          <w:lang w:val="en-US"/>
        </w:rPr>
        <w:t>generation</w:t>
      </w:r>
      <w:r w:rsidR="00BA6353">
        <w:rPr>
          <w:rFonts w:cstheme="minorHAnsi"/>
          <w:color w:val="000000" w:themeColor="text1"/>
          <w:shd w:val="clear" w:color="auto" w:fill="FFFFFF"/>
          <w:lang w:val="en-US"/>
        </w:rPr>
        <w:t>’</w:t>
      </w:r>
      <w:r w:rsidRPr="00F53C96">
        <w:rPr>
          <w:rFonts w:cstheme="minorHAnsi"/>
          <w:color w:val="000000" w:themeColor="text1"/>
          <w:shd w:val="clear" w:color="auto" w:fill="FFFFFF"/>
          <w:lang w:val="en-US"/>
        </w:rPr>
        <w:t xml:space="preserve">, he writes to </w:t>
      </w:r>
      <w:proofErr w:type="spellStart"/>
      <w:r w:rsidRPr="00F53C96">
        <w:rPr>
          <w:rFonts w:cstheme="minorHAnsi"/>
          <w:color w:val="000000" w:themeColor="text1"/>
          <w:shd w:val="clear" w:color="auto" w:fill="FFFFFF"/>
          <w:lang w:val="en-US"/>
        </w:rPr>
        <w:t>Bethge</w:t>
      </w:r>
      <w:proofErr w:type="spellEnd"/>
      <w:r w:rsidRPr="00F53C96">
        <w:rPr>
          <w:rFonts w:cstheme="minorHAnsi"/>
          <w:color w:val="000000" w:themeColor="text1"/>
          <w:shd w:val="clear" w:color="auto" w:fill="FFFFFF"/>
          <w:lang w:val="en-US"/>
        </w:rPr>
        <w:t xml:space="preserve"> after Renate gave birth to his parents first grandchild.</w:t>
      </w:r>
      <w:r w:rsidRPr="00F53C96">
        <w:rPr>
          <w:rStyle w:val="Voetnootmarkering"/>
          <w:rFonts w:cstheme="minorHAnsi"/>
          <w:lang w:val="en-US"/>
        </w:rPr>
        <w:footnoteReference w:id="11"/>
      </w:r>
      <w:r w:rsidRPr="00F53C96">
        <w:rPr>
          <w:rFonts w:cstheme="minorHAnsi"/>
          <w:lang w:val="en-US"/>
        </w:rPr>
        <w:t xml:space="preserve"> Bonhoeffer ethical understanding of responsibility as theologically developed in his Ethics is strongly marked by this specific intergenerational awareness. In the drama written in </w:t>
      </w:r>
      <w:proofErr w:type="spellStart"/>
      <w:r w:rsidRPr="00F53C96">
        <w:rPr>
          <w:rFonts w:cstheme="minorHAnsi"/>
          <w:lang w:val="en-US"/>
        </w:rPr>
        <w:t>Tegel</w:t>
      </w:r>
      <w:proofErr w:type="spellEnd"/>
      <w:r w:rsidRPr="00F53C96">
        <w:rPr>
          <w:rFonts w:cstheme="minorHAnsi"/>
          <w:lang w:val="en-US"/>
        </w:rPr>
        <w:t xml:space="preserve"> prison Bonhoeffer introduces a stranger describing of how generations in earlier times ideally were related: </w:t>
      </w:r>
      <w:r w:rsidR="00BA6353">
        <w:rPr>
          <w:rFonts w:cstheme="minorHAnsi"/>
          <w:color w:val="000000" w:themeColor="text1"/>
          <w:lang w:val="en-US"/>
        </w:rPr>
        <w:t>‘</w:t>
      </w:r>
      <w:r w:rsidRPr="00F53C96">
        <w:rPr>
          <w:rFonts w:cstheme="minorHAnsi"/>
          <w:color w:val="000000" w:themeColor="text1"/>
          <w:shd w:val="clear" w:color="auto" w:fill="FFFFFF"/>
          <w:lang w:val="en-US"/>
        </w:rPr>
        <w:t>Everyone lived only for the other: parents for their children and children so that they would be parents someday, the rulers for the subjects and the subjects for the rulers, one </w:t>
      </w:r>
      <w:r w:rsidRPr="00F53C96">
        <w:rPr>
          <w:rStyle w:val="highlight"/>
          <w:rFonts w:cstheme="minorHAnsi"/>
          <w:color w:val="000000" w:themeColor="text1"/>
          <w:shd w:val="clear" w:color="auto" w:fill="FFFFFF"/>
          <w:lang w:val="en-US"/>
        </w:rPr>
        <w:t>generation</w:t>
      </w:r>
      <w:r w:rsidRPr="00F53C96">
        <w:rPr>
          <w:rFonts w:cstheme="minorHAnsi"/>
          <w:color w:val="000000" w:themeColor="text1"/>
          <w:shd w:val="clear" w:color="auto" w:fill="FFFFFF"/>
          <w:lang w:val="en-US"/>
        </w:rPr>
        <w:t> for the next and that generation for the one after. But no one—it's truly insane—lived simply and honestly for themselves.</w:t>
      </w:r>
      <w:r w:rsidR="00BA6353">
        <w:rPr>
          <w:rFonts w:cstheme="minorHAnsi"/>
          <w:color w:val="000000" w:themeColor="text1"/>
          <w:shd w:val="clear" w:color="auto" w:fill="FFFFFF"/>
          <w:lang w:val="en-US"/>
        </w:rPr>
        <w:t>’</w:t>
      </w:r>
      <w:r w:rsidRPr="00F53C96">
        <w:rPr>
          <w:rFonts w:cstheme="minorHAnsi"/>
          <w:shd w:val="clear" w:color="auto" w:fill="FFFFFF"/>
          <w:lang w:val="en-US"/>
        </w:rPr>
        <w:t xml:space="preserve"> (</w:t>
      </w:r>
      <w:r w:rsidRPr="00F53C96">
        <w:rPr>
          <w:rFonts w:cstheme="minorHAnsi"/>
          <w:lang w:val="en-US"/>
        </w:rPr>
        <w:t>DBWE 7</w:t>
      </w:r>
      <w:r w:rsidR="00973AF2">
        <w:rPr>
          <w:rFonts w:cstheme="minorHAnsi"/>
          <w:lang w:val="en-US"/>
        </w:rPr>
        <w:t xml:space="preserve">: </w:t>
      </w:r>
      <w:r w:rsidRPr="00F53C96">
        <w:rPr>
          <w:rFonts w:cstheme="minorHAnsi"/>
          <w:lang w:val="en-US"/>
        </w:rPr>
        <w:t>6</w:t>
      </w:r>
      <w:r w:rsidRPr="00F53C96">
        <w:rPr>
          <w:rFonts w:cstheme="minorHAnsi"/>
          <w:color w:val="000000" w:themeColor="text1"/>
          <w:shd w:val="clear" w:color="auto" w:fill="FFFFFF"/>
          <w:lang w:val="en-US"/>
        </w:rPr>
        <w:t>1 (Drama, scene 3)).</w:t>
      </w:r>
    </w:p>
    <w:p w:rsidR="00F53C96" w:rsidRPr="00F53C96" w:rsidRDefault="00F53C96" w:rsidP="00F53C96">
      <w:pPr>
        <w:rPr>
          <w:rFonts w:cstheme="minorHAnsi"/>
          <w:lang w:val="en-US"/>
        </w:rPr>
      </w:pPr>
    </w:p>
    <w:p w:rsidR="00F53C96" w:rsidRPr="00F53C96" w:rsidRDefault="00F53C96" w:rsidP="00F53C96">
      <w:pPr>
        <w:autoSpaceDE w:val="0"/>
        <w:autoSpaceDN w:val="0"/>
        <w:adjustRightInd w:val="0"/>
        <w:rPr>
          <w:rFonts w:eastAsia="Times New Roman" w:cstheme="minorHAnsi"/>
          <w:lang w:val="en-US" w:eastAsia="nl-NL"/>
        </w:rPr>
      </w:pPr>
      <w:r w:rsidRPr="00F53C96">
        <w:rPr>
          <w:rFonts w:cstheme="minorHAnsi"/>
          <w:lang w:val="en-US"/>
        </w:rPr>
        <w:t xml:space="preserve">Because of Bonhoeffer’s highly developed intergenerational awareness, he intensely experienced how his own “younger generation” was special in being haunted by the memory of World War I. In his lecture </w:t>
      </w:r>
      <w:r w:rsidRPr="00F53C96">
        <w:rPr>
          <w:rFonts w:eastAsia="Times New Roman" w:cstheme="minorHAnsi"/>
          <w:i/>
          <w:iCs/>
          <w:lang w:val="en-US" w:eastAsia="nl-NL"/>
        </w:rPr>
        <w:t>The Führer and the Individual in the Younger Generation</w:t>
      </w:r>
      <w:r w:rsidRPr="00F53C96">
        <w:rPr>
          <w:rFonts w:eastAsia="Times New Roman" w:cstheme="minorHAnsi"/>
          <w:b/>
          <w:bCs/>
          <w:lang w:val="en-US" w:eastAsia="nl-NL"/>
        </w:rPr>
        <w:t xml:space="preserve"> </w:t>
      </w:r>
      <w:r w:rsidRPr="00F53C96">
        <w:rPr>
          <w:rFonts w:eastAsia="Times New Roman" w:cstheme="minorHAnsi"/>
          <w:lang w:val="en-US" w:eastAsia="nl-NL"/>
        </w:rPr>
        <w:t xml:space="preserve">(Berlin, 1933) he displays how the world war created a new, “young generation” which, not having actively participated in the war, projects its hunger for authority and orientation to strong leader, a Führer. He </w:t>
      </w:r>
      <w:r w:rsidRPr="00F53C96">
        <w:rPr>
          <w:rFonts w:cstheme="minorHAnsi"/>
          <w:lang w:val="en-US"/>
        </w:rPr>
        <w:t xml:space="preserve">does not </w:t>
      </w:r>
      <w:r w:rsidRPr="00F53C96">
        <w:rPr>
          <w:rFonts w:cstheme="minorHAnsi"/>
          <w:lang w:val="en-US"/>
        </w:rPr>
        <w:lastRenderedPageBreak/>
        <w:t xml:space="preserve">mention the loss of his brother Walter (1899-1914) at the front line in 1918 and the trauma it caused in his family. But the traumatic experience is palpable in every line. The lecture </w:t>
      </w:r>
      <w:r w:rsidRPr="00F53C96">
        <w:rPr>
          <w:rFonts w:eastAsia="Times New Roman" w:cstheme="minorHAnsi"/>
          <w:lang w:val="en-US" w:eastAsia="nl-NL"/>
        </w:rPr>
        <w:t>illustrates Bonhoeffer’s keen insight in what generations are, what makes them different, how they follow up each other, and how they must try to live together in the German postwar context. He defines generations not in terms of age and offspring</w:t>
      </w:r>
      <w:r w:rsidRPr="00F53C96">
        <w:rPr>
          <w:rFonts w:eastAsia="Times New Roman" w:cstheme="minorHAnsi"/>
          <w:lang w:val="en-US" w:eastAsia="nl-NL" w:bidi="he-IL"/>
        </w:rPr>
        <w:t xml:space="preserve"> but as </w:t>
      </w:r>
      <w:r w:rsidRPr="00F53C96">
        <w:rPr>
          <w:rFonts w:eastAsia="Times New Roman" w:cstheme="minorHAnsi"/>
          <w:lang w:val="en-US" w:eastAsia="nl-NL"/>
        </w:rPr>
        <w:t xml:space="preserve">cohorts who have in their formative years been </w:t>
      </w:r>
      <w:r w:rsidR="00BA6353">
        <w:rPr>
          <w:rFonts w:eastAsia="Times New Roman" w:cstheme="minorHAnsi"/>
          <w:lang w:val="en-US" w:eastAsia="nl-NL"/>
        </w:rPr>
        <w:t>‘</w:t>
      </w:r>
      <w:r w:rsidRPr="00F53C96">
        <w:rPr>
          <w:rFonts w:eastAsia="Times New Roman" w:cstheme="minorHAnsi"/>
          <w:lang w:val="en-US" w:eastAsia="nl-NL"/>
        </w:rPr>
        <w:t>shaped by a particular experience</w:t>
      </w:r>
      <w:r w:rsidR="00BA6353">
        <w:rPr>
          <w:rFonts w:eastAsia="Times New Roman" w:cstheme="minorHAnsi"/>
          <w:lang w:val="en-US" w:eastAsia="nl-NL"/>
        </w:rPr>
        <w:t>’</w:t>
      </w:r>
      <w:r w:rsidRPr="00F53C96">
        <w:rPr>
          <w:rFonts w:eastAsia="Times New Roman" w:cstheme="minorHAnsi"/>
          <w:lang w:val="en-US" w:eastAsia="nl-NL"/>
        </w:rPr>
        <w:t>, in his case the catastrophe of the war.</w:t>
      </w:r>
      <w:r w:rsidRPr="00F53C96">
        <w:rPr>
          <w:rStyle w:val="Voetnootmarkering"/>
          <w:rFonts w:eastAsia="Times New Roman" w:cstheme="minorHAnsi"/>
          <w:lang w:val="en-US" w:eastAsia="nl-NL"/>
        </w:rPr>
        <w:footnoteReference w:id="12"/>
      </w:r>
      <w:r w:rsidRPr="00F53C96">
        <w:rPr>
          <w:rFonts w:eastAsia="Times New Roman" w:cstheme="minorHAnsi"/>
          <w:lang w:val="en-US" w:eastAsia="nl-NL"/>
        </w:rPr>
        <w:t xml:space="preserve"> There is an important lesson to be learned here. </w:t>
      </w:r>
      <w:r w:rsidRPr="00F53C96">
        <w:rPr>
          <w:rFonts w:cstheme="minorHAnsi"/>
          <w:lang w:val="en-US"/>
        </w:rPr>
        <w:t>Bonhoeffer shows how intergenerational relationships are always marked by the wounds of history.</w:t>
      </w:r>
      <w:r w:rsidRPr="00F53C96">
        <w:rPr>
          <w:rFonts w:cstheme="minorHAnsi"/>
          <w:b/>
          <w:bCs/>
          <w:lang w:val="en-US"/>
        </w:rPr>
        <w:t xml:space="preserve"> </w:t>
      </w:r>
      <w:r w:rsidRPr="00F53C96">
        <w:rPr>
          <w:rFonts w:eastAsia="Times New Roman" w:cstheme="minorHAnsi"/>
          <w:lang w:val="en-US" w:eastAsia="nl-NL"/>
        </w:rPr>
        <w:t xml:space="preserve">Generations seldom live a life course full circle, as my own baby boom generation had the chance to do in postwar Europa. In most countries it is not age or a life span, but a war – or, as in South Africa apartheid - that is decisive in characterizing and separating generations. Time is contracted or stretched according to political events, rather than along completed life cycles. </w:t>
      </w:r>
    </w:p>
    <w:p w:rsidR="00F53C96" w:rsidRPr="00F53C96" w:rsidRDefault="00F53C96" w:rsidP="00F53C96">
      <w:pPr>
        <w:rPr>
          <w:rFonts w:cstheme="minorHAnsi"/>
          <w:lang w:val="en-US"/>
        </w:rPr>
      </w:pPr>
      <w:r w:rsidRPr="00F53C96">
        <w:rPr>
          <w:rFonts w:eastAsia="Times New Roman" w:cstheme="minorHAnsi"/>
          <w:lang w:val="en-US" w:eastAsia="nl-NL"/>
        </w:rPr>
        <w:t xml:space="preserve">In the years 1933 – 1937, the tragedy of World War I led Germany to a new disaster, which makes that Bonhoeffer’s own “younger generation”, involved in the church struggle, quickly got old. Old in Bonhoeffer’s sense: </w:t>
      </w:r>
      <w:r w:rsidR="00BA6353">
        <w:rPr>
          <w:rFonts w:eastAsia="Times New Roman" w:cstheme="minorHAnsi"/>
          <w:lang w:val="en-US" w:eastAsia="nl-NL"/>
        </w:rPr>
        <w:t>‘</w:t>
      </w:r>
      <w:r w:rsidRPr="00F53C96">
        <w:rPr>
          <w:rFonts w:eastAsia="Times New Roman" w:cstheme="minorHAnsi"/>
          <w:lang w:val="en-US" w:eastAsia="nl-NL"/>
        </w:rPr>
        <w:t>shaped by a particular experience</w:t>
      </w:r>
      <w:r w:rsidR="00BA6353">
        <w:rPr>
          <w:rFonts w:eastAsia="Times New Roman" w:cstheme="minorHAnsi"/>
          <w:lang w:val="en-US" w:eastAsia="nl-NL"/>
        </w:rPr>
        <w:t>’</w:t>
      </w:r>
      <w:r w:rsidRPr="00F53C96">
        <w:rPr>
          <w:rFonts w:eastAsia="Times New Roman" w:cstheme="minorHAnsi"/>
          <w:lang w:val="en-US" w:eastAsia="nl-NL"/>
        </w:rPr>
        <w:t xml:space="preserve">, that is: Nazism. </w:t>
      </w:r>
      <w:r w:rsidRPr="00F53C96">
        <w:rPr>
          <w:rFonts w:cstheme="minorHAnsi"/>
          <w:color w:val="000000" w:themeColor="text1"/>
          <w:lang w:val="en-US"/>
        </w:rPr>
        <w:t xml:space="preserve">On New Year's Eve, December 31, 1937, Bonhoeffer delivers a sermon on Ps. 71:18, </w:t>
      </w:r>
      <w:r w:rsidR="00BA6353">
        <w:rPr>
          <w:rFonts w:cstheme="minorHAnsi"/>
          <w:color w:val="000000" w:themeColor="text1"/>
          <w:lang w:val="en-US"/>
        </w:rPr>
        <w:t>‘</w:t>
      </w:r>
      <w:r w:rsidRPr="00F53C96">
        <w:rPr>
          <w:rFonts w:cstheme="minorHAnsi"/>
          <w:color w:val="000000" w:themeColor="text1"/>
          <w:lang w:val="en-US"/>
        </w:rPr>
        <w:t xml:space="preserve">So even to old age and gray hairs, O God, do not forsake me, until I proclaim </w:t>
      </w:r>
      <w:proofErr w:type="spellStart"/>
      <w:r w:rsidRPr="00F53C96">
        <w:rPr>
          <w:rFonts w:cstheme="minorHAnsi"/>
          <w:color w:val="000000" w:themeColor="text1"/>
          <w:lang w:val="en-US"/>
        </w:rPr>
        <w:t>your</w:t>
      </w:r>
      <w:proofErr w:type="spellEnd"/>
      <w:r w:rsidRPr="00F53C96">
        <w:rPr>
          <w:rFonts w:cstheme="minorHAnsi"/>
          <w:color w:val="000000" w:themeColor="text1"/>
          <w:lang w:val="en-US"/>
        </w:rPr>
        <w:t xml:space="preserve"> might to all the generations to come.</w:t>
      </w:r>
      <w:r w:rsidR="00BA6353">
        <w:rPr>
          <w:rFonts w:cstheme="minorHAnsi"/>
          <w:color w:val="000000" w:themeColor="text1"/>
          <w:lang w:val="en-US"/>
        </w:rPr>
        <w:t>’</w:t>
      </w:r>
      <w:r w:rsidRPr="00F53C96">
        <w:rPr>
          <w:rFonts w:cstheme="minorHAnsi"/>
          <w:color w:val="000000" w:themeColor="text1"/>
          <w:lang w:val="en-US"/>
        </w:rPr>
        <w:t xml:space="preserve"> He preaches: </w:t>
      </w:r>
      <w:r w:rsidR="00BA6353">
        <w:rPr>
          <w:rFonts w:cstheme="minorHAnsi"/>
          <w:color w:val="000000" w:themeColor="text1"/>
          <w:lang w:val="en-US"/>
        </w:rPr>
        <w:t>‘</w:t>
      </w:r>
      <w:r w:rsidRPr="00F53C96">
        <w:rPr>
          <w:rFonts w:cstheme="minorHAnsi"/>
          <w:color w:val="000000" w:themeColor="text1"/>
          <w:lang w:val="en-US"/>
        </w:rPr>
        <w:t>For some time now we have grown accustomed to the fact that we cannot count on having long periods of time</w:t>
      </w:r>
      <w:r w:rsidR="00BA6353">
        <w:rPr>
          <w:rFonts w:cstheme="minorHAnsi"/>
          <w:color w:val="000000" w:themeColor="text1"/>
          <w:lang w:val="en-US"/>
        </w:rPr>
        <w:t>’</w:t>
      </w:r>
      <w:r w:rsidRPr="00F53C96">
        <w:rPr>
          <w:rFonts w:cstheme="minorHAnsi"/>
          <w:color w:val="000000" w:themeColor="text1"/>
          <w:lang w:val="en-US"/>
        </w:rPr>
        <w:t xml:space="preserve">. </w:t>
      </w:r>
      <w:r w:rsidR="00BA6353">
        <w:rPr>
          <w:rFonts w:cstheme="minorHAnsi"/>
          <w:color w:val="000000" w:themeColor="text1"/>
          <w:lang w:val="en-US"/>
        </w:rPr>
        <w:t>‘</w:t>
      </w:r>
      <w:r w:rsidRPr="00F53C96">
        <w:rPr>
          <w:rFonts w:cstheme="minorHAnsi"/>
          <w:color w:val="000000" w:themeColor="text1"/>
          <w:lang w:val="en-US"/>
        </w:rPr>
        <w:t>But time moves on,</w:t>
      </w:r>
      <w:r w:rsidR="00BA6353">
        <w:rPr>
          <w:rFonts w:cstheme="minorHAnsi"/>
          <w:color w:val="000000" w:themeColor="text1"/>
          <w:lang w:val="en-US"/>
        </w:rPr>
        <w:t>’</w:t>
      </w:r>
      <w:r w:rsidRPr="00F53C96">
        <w:rPr>
          <w:rFonts w:cstheme="minorHAnsi"/>
          <w:color w:val="000000" w:themeColor="text1"/>
          <w:lang w:val="en-US"/>
        </w:rPr>
        <w:t xml:space="preserve"> he continues, </w:t>
      </w:r>
      <w:r w:rsidR="00BA6353">
        <w:rPr>
          <w:rFonts w:cstheme="minorHAnsi"/>
          <w:color w:val="000000" w:themeColor="text1"/>
          <w:lang w:val="en-US"/>
        </w:rPr>
        <w:t>‘</w:t>
      </w:r>
      <w:r w:rsidRPr="00F53C96">
        <w:rPr>
          <w:rFonts w:cstheme="minorHAnsi"/>
          <w:color w:val="000000" w:themeColor="text1"/>
          <w:lang w:val="en-US"/>
        </w:rPr>
        <w:t xml:space="preserve">and our text today speaks to us about growing old. (…) perhaps we will become gray during this time of struggle for the church, and new generations will bear new burdens on their shoulders. (…) Years and generations pass away, but God's word does not. Indeed, </w:t>
      </w:r>
      <w:r w:rsidRPr="00F53C96">
        <w:rPr>
          <w:rFonts w:cstheme="minorHAnsi"/>
          <w:i/>
          <w:iCs/>
          <w:color w:val="000000" w:themeColor="text1"/>
          <w:lang w:val="en-US"/>
        </w:rPr>
        <w:t>we are merely one link in the chain</w:t>
      </w:r>
      <w:r w:rsidRPr="00F53C96">
        <w:rPr>
          <w:rFonts w:cstheme="minorHAnsi"/>
          <w:color w:val="000000" w:themeColor="text1"/>
          <w:lang w:val="en-US"/>
        </w:rPr>
        <w:t>.</w:t>
      </w:r>
      <w:r w:rsidR="00BA6353">
        <w:rPr>
          <w:rFonts w:cstheme="minorHAnsi"/>
          <w:color w:val="000000" w:themeColor="text1"/>
          <w:lang w:val="en-US"/>
        </w:rPr>
        <w:t>’</w:t>
      </w:r>
      <w:r w:rsidRPr="00F53C96">
        <w:rPr>
          <w:rFonts w:cstheme="minorHAnsi"/>
          <w:color w:val="000000" w:themeColor="text1"/>
          <w:lang w:val="en-US"/>
        </w:rPr>
        <w:t xml:space="preserve"> </w:t>
      </w:r>
      <w:r w:rsidRPr="00F53C96">
        <w:rPr>
          <w:rFonts w:cstheme="minorHAnsi"/>
          <w:lang w:val="en-US"/>
        </w:rPr>
        <w:t>(DBWE 15</w:t>
      </w:r>
      <w:r w:rsidR="00783432">
        <w:rPr>
          <w:rFonts w:cstheme="minorHAnsi"/>
          <w:lang w:val="en-US"/>
        </w:rPr>
        <w:t xml:space="preserve">: </w:t>
      </w:r>
      <w:r w:rsidRPr="00F53C96">
        <w:rPr>
          <w:rFonts w:cstheme="minorHAnsi"/>
          <w:lang w:val="en-US"/>
        </w:rPr>
        <w:t>25; italics added).</w:t>
      </w:r>
      <w:r w:rsidRPr="00F53C96">
        <w:rPr>
          <w:rStyle w:val="Voetnootmarkering"/>
          <w:rFonts w:cstheme="minorHAnsi"/>
          <w:lang w:val="en-US"/>
        </w:rPr>
        <w:footnoteReference w:id="13"/>
      </w:r>
      <w:r w:rsidRPr="00F53C96">
        <w:rPr>
          <w:rFonts w:cstheme="minorHAnsi"/>
          <w:lang w:val="en-US"/>
        </w:rPr>
        <w:t xml:space="preserve"> </w:t>
      </w:r>
    </w:p>
    <w:p w:rsidR="00F53C96" w:rsidRPr="00F53C96" w:rsidRDefault="00F53C96" w:rsidP="00F53C96">
      <w:pPr>
        <w:autoSpaceDE w:val="0"/>
        <w:autoSpaceDN w:val="0"/>
        <w:adjustRightInd w:val="0"/>
        <w:rPr>
          <w:rFonts w:cstheme="minorHAnsi"/>
          <w:lang w:val="en-US"/>
        </w:rPr>
      </w:pPr>
    </w:p>
    <w:p w:rsidR="00F53C96" w:rsidRPr="00F53C96" w:rsidRDefault="00F53C96" w:rsidP="00F53C96">
      <w:pPr>
        <w:pStyle w:val="Lijstalinea"/>
        <w:numPr>
          <w:ilvl w:val="0"/>
          <w:numId w:val="2"/>
        </w:numPr>
        <w:autoSpaceDE w:val="0"/>
        <w:autoSpaceDN w:val="0"/>
        <w:adjustRightInd w:val="0"/>
        <w:rPr>
          <w:rFonts w:cstheme="minorHAnsi"/>
          <w:i/>
          <w:iCs/>
          <w:lang w:val="en-US"/>
        </w:rPr>
      </w:pPr>
      <w:r w:rsidRPr="00F53C96">
        <w:rPr>
          <w:rFonts w:cstheme="minorHAnsi"/>
          <w:i/>
          <w:iCs/>
          <w:lang w:val="en-US"/>
        </w:rPr>
        <w:t>Privilege, sacrifice, optimism: Bonhoeffer’s ‘generativity script’</w:t>
      </w:r>
    </w:p>
    <w:p w:rsidR="00F53C96" w:rsidRPr="00F53C96" w:rsidRDefault="00F53C96" w:rsidP="00F53C96">
      <w:pPr>
        <w:autoSpaceDE w:val="0"/>
        <w:autoSpaceDN w:val="0"/>
        <w:adjustRightInd w:val="0"/>
        <w:rPr>
          <w:rFonts w:cstheme="minorHAnsi"/>
          <w:lang w:val="en-US"/>
        </w:rPr>
      </w:pPr>
    </w:p>
    <w:p w:rsidR="00F53C96" w:rsidRPr="00F53C96" w:rsidRDefault="00F53C96" w:rsidP="00F53C96">
      <w:pPr>
        <w:autoSpaceDE w:val="0"/>
        <w:autoSpaceDN w:val="0"/>
        <w:adjustRightInd w:val="0"/>
        <w:rPr>
          <w:rFonts w:cstheme="minorHAnsi"/>
          <w:lang w:val="en-US"/>
        </w:rPr>
      </w:pPr>
      <w:r w:rsidRPr="00F53C96">
        <w:rPr>
          <w:rFonts w:cstheme="minorHAnsi"/>
          <w:lang w:val="en-US"/>
        </w:rPr>
        <w:t xml:space="preserve">Bonhoeffer’s strong awareness of being </w:t>
      </w:r>
      <w:r w:rsidR="00BA6353">
        <w:rPr>
          <w:rFonts w:cstheme="minorHAnsi"/>
          <w:lang w:val="en-US"/>
        </w:rPr>
        <w:t>‘</w:t>
      </w:r>
      <w:r w:rsidRPr="00F53C96">
        <w:rPr>
          <w:rFonts w:cstheme="minorHAnsi"/>
          <w:lang w:val="en-US"/>
        </w:rPr>
        <w:t>merely one link in the chain</w:t>
      </w:r>
      <w:r w:rsidR="00BA6353">
        <w:rPr>
          <w:rFonts w:cstheme="minorHAnsi"/>
          <w:lang w:val="en-US"/>
        </w:rPr>
        <w:t>’</w:t>
      </w:r>
      <w:r w:rsidRPr="00F53C96">
        <w:rPr>
          <w:rFonts w:cstheme="minorHAnsi"/>
          <w:lang w:val="en-US"/>
        </w:rPr>
        <w:t xml:space="preserve"> becomes an integral part of – what we can call - the generativity narrative he develops in his later writings from prison. Convinced of having </w:t>
      </w:r>
      <w:r w:rsidR="00BA6353">
        <w:rPr>
          <w:rFonts w:cstheme="minorHAnsi"/>
          <w:lang w:val="en-US"/>
        </w:rPr>
        <w:t>‘</w:t>
      </w:r>
      <w:r w:rsidRPr="00F53C96">
        <w:rPr>
          <w:rFonts w:cstheme="minorHAnsi"/>
          <w:lang w:val="en-US"/>
        </w:rPr>
        <w:t>more or less his life behind him</w:t>
      </w:r>
      <w:r w:rsidR="00BA6353">
        <w:rPr>
          <w:rFonts w:cstheme="minorHAnsi"/>
          <w:lang w:val="en-US"/>
        </w:rPr>
        <w:t>’</w:t>
      </w:r>
      <w:r w:rsidRPr="00F53C96">
        <w:rPr>
          <w:rFonts w:cstheme="minorHAnsi"/>
          <w:lang w:val="en-US"/>
        </w:rPr>
        <w:t xml:space="preserve">, he is reviewing his life, just as many elderly people do in the face of death. In his research, psychologist Dan McAdams analyzed many life stories, and observed that many of them express a late adult’s realization that </w:t>
      </w:r>
      <w:r w:rsidR="00783432">
        <w:rPr>
          <w:rFonts w:cstheme="minorHAnsi"/>
          <w:lang w:val="en-US"/>
        </w:rPr>
        <w:t>“</w:t>
      </w:r>
      <w:r w:rsidRPr="00F53C96">
        <w:rPr>
          <w:rFonts w:cstheme="minorHAnsi"/>
          <w:lang w:val="en-US"/>
        </w:rPr>
        <w:t>because I received so much from others it is now my turn to pass it on to whom I leave behind.</w:t>
      </w:r>
      <w:r w:rsidR="00783432">
        <w:rPr>
          <w:rFonts w:cstheme="minorHAnsi"/>
          <w:lang w:val="en-US"/>
        </w:rPr>
        <w:t xml:space="preserve">” </w:t>
      </w:r>
      <w:r w:rsidRPr="00F53C96">
        <w:rPr>
          <w:rFonts w:cstheme="minorHAnsi"/>
          <w:lang w:val="en-US"/>
        </w:rPr>
        <w:t xml:space="preserve">Accounts like these he calls </w:t>
      </w:r>
      <w:r w:rsidRPr="00F53C96">
        <w:rPr>
          <w:rFonts w:cstheme="minorHAnsi"/>
          <w:i/>
          <w:iCs/>
          <w:lang w:val="en-US"/>
        </w:rPr>
        <w:t>generativity scripts</w:t>
      </w:r>
      <w:r w:rsidRPr="00F53C96">
        <w:rPr>
          <w:rFonts w:cstheme="minorHAnsi"/>
          <w:lang w:val="en-US"/>
        </w:rPr>
        <w:t>. For some people they dominate the plot line of their life stories. For others it is just one scene among others.</w:t>
      </w:r>
      <w:r w:rsidR="00783432">
        <w:rPr>
          <w:rStyle w:val="Voetnootmarkering"/>
          <w:rFonts w:cstheme="minorHAnsi"/>
          <w:lang w:val="en-US"/>
        </w:rPr>
        <w:footnoteReference w:id="14"/>
      </w:r>
      <w:r w:rsidRPr="00F53C96">
        <w:rPr>
          <w:rFonts w:cstheme="minorHAnsi"/>
          <w:lang w:val="en-US"/>
        </w:rPr>
        <w:t xml:space="preserve"> </w:t>
      </w:r>
    </w:p>
    <w:p w:rsidR="00F53C96" w:rsidRPr="00F53C96" w:rsidRDefault="00F53C96" w:rsidP="00F53C96">
      <w:pPr>
        <w:autoSpaceDE w:val="0"/>
        <w:autoSpaceDN w:val="0"/>
        <w:adjustRightInd w:val="0"/>
        <w:rPr>
          <w:rFonts w:cstheme="minorHAnsi"/>
          <w:lang w:val="en-US"/>
        </w:rPr>
      </w:pPr>
    </w:p>
    <w:p w:rsidR="00F53C96" w:rsidRPr="00F53C96" w:rsidRDefault="00F53C96" w:rsidP="00F53C96">
      <w:pPr>
        <w:autoSpaceDE w:val="0"/>
        <w:autoSpaceDN w:val="0"/>
        <w:adjustRightInd w:val="0"/>
        <w:ind w:left="708"/>
        <w:rPr>
          <w:rFonts w:cstheme="minorHAnsi"/>
          <w:lang w:val="en-US"/>
        </w:rPr>
      </w:pPr>
      <w:r w:rsidRPr="00F53C96">
        <w:rPr>
          <w:rFonts w:cstheme="minorHAnsi"/>
          <w:lang w:val="en-US"/>
        </w:rPr>
        <w:lastRenderedPageBreak/>
        <w:t xml:space="preserve">McAdams argues that generativity is a configuration of seven psychosocial features. Generativity begins with (1) personal </w:t>
      </w:r>
      <w:r w:rsidRPr="00F53C96">
        <w:rPr>
          <w:rFonts w:cstheme="minorHAnsi"/>
          <w:i/>
          <w:iCs/>
          <w:lang w:val="en-US"/>
        </w:rPr>
        <w:t xml:space="preserve">desires </w:t>
      </w:r>
      <w:r w:rsidRPr="00F53C96">
        <w:rPr>
          <w:rFonts w:cstheme="minorHAnsi"/>
          <w:lang w:val="en-US"/>
        </w:rPr>
        <w:t xml:space="preserve">combined with and structured by (2) cultural </w:t>
      </w:r>
      <w:r w:rsidRPr="00F53C96">
        <w:rPr>
          <w:rFonts w:cstheme="minorHAnsi"/>
          <w:i/>
          <w:iCs/>
          <w:lang w:val="en-US"/>
        </w:rPr>
        <w:t>demands</w:t>
      </w:r>
      <w:r w:rsidRPr="00F53C96">
        <w:rPr>
          <w:rFonts w:cstheme="minorHAnsi"/>
          <w:lang w:val="en-US"/>
        </w:rPr>
        <w:t xml:space="preserve">: expectations with regard to how and when to engage in generative behaviors in a given social milieu. Motivated by inner desires and outer demands, adults develop (3) a conscious </w:t>
      </w:r>
      <w:r w:rsidRPr="00F53C96">
        <w:rPr>
          <w:rFonts w:cstheme="minorHAnsi"/>
          <w:i/>
          <w:iCs/>
          <w:lang w:val="en-US"/>
        </w:rPr>
        <w:t>concern</w:t>
      </w:r>
      <w:r w:rsidRPr="00F53C96">
        <w:rPr>
          <w:rFonts w:cstheme="minorHAnsi"/>
          <w:lang w:val="en-US"/>
        </w:rPr>
        <w:t xml:space="preserve"> for the next generation. Interacting with desire, demand, and concern are (4) </w:t>
      </w:r>
      <w:r w:rsidRPr="00F53C96">
        <w:rPr>
          <w:rFonts w:cstheme="minorHAnsi"/>
          <w:i/>
          <w:iCs/>
          <w:lang w:val="en-US"/>
        </w:rPr>
        <w:t>beliefs</w:t>
      </w:r>
      <w:r w:rsidRPr="00F53C96">
        <w:rPr>
          <w:rFonts w:cstheme="minorHAnsi"/>
          <w:lang w:val="en-US"/>
        </w:rPr>
        <w:t xml:space="preserve"> in how worthwhile it will be to invest in the future. A positive belief in the future, then, may help to translate concerns into concrete (5) </w:t>
      </w:r>
      <w:r w:rsidRPr="00F53C96">
        <w:rPr>
          <w:rFonts w:cstheme="minorHAnsi"/>
          <w:i/>
          <w:iCs/>
          <w:lang w:val="en-US"/>
        </w:rPr>
        <w:t>commitments</w:t>
      </w:r>
      <w:r w:rsidRPr="00F53C96">
        <w:rPr>
          <w:rFonts w:cstheme="minorHAnsi"/>
          <w:lang w:val="en-US"/>
        </w:rPr>
        <w:t xml:space="preserve"> and (6) </w:t>
      </w:r>
      <w:r w:rsidRPr="00F53C96">
        <w:rPr>
          <w:rFonts w:cstheme="minorHAnsi"/>
          <w:i/>
          <w:iCs/>
          <w:lang w:val="en-US"/>
        </w:rPr>
        <w:t>actions</w:t>
      </w:r>
      <w:r w:rsidRPr="00F53C96">
        <w:rPr>
          <w:rFonts w:cstheme="minorHAnsi"/>
          <w:lang w:val="en-US"/>
        </w:rPr>
        <w:t xml:space="preserve">. Generativity desires, demands, concerns, beliefs, commitments, actions (1 – 6) are finally translated in (7) </w:t>
      </w:r>
      <w:r w:rsidRPr="00F53C96">
        <w:rPr>
          <w:rFonts w:cstheme="minorHAnsi"/>
          <w:i/>
          <w:iCs/>
          <w:lang w:val="en-US"/>
        </w:rPr>
        <w:t>narratives</w:t>
      </w:r>
      <w:r w:rsidRPr="00F53C96">
        <w:rPr>
          <w:rFonts w:cstheme="minorHAnsi"/>
          <w:lang w:val="en-US"/>
        </w:rPr>
        <w:t>, made part of autobiographical stories, which give purpose and unity to one’s life. These stories become increasingly central the more one comes nearer to death. Generativity narratives defy death, in a narrative sense; even though one’s own life will end, it may give birth to new beginnings.</w:t>
      </w:r>
      <w:r w:rsidR="00783432">
        <w:rPr>
          <w:rStyle w:val="Voetnootmarkering"/>
          <w:rFonts w:cstheme="minorHAnsi"/>
          <w:lang w:val="en-US"/>
        </w:rPr>
        <w:footnoteReference w:id="15"/>
      </w:r>
    </w:p>
    <w:p w:rsidR="00F53C96" w:rsidRPr="00F53C96" w:rsidRDefault="00F53C96" w:rsidP="00F53C96">
      <w:pPr>
        <w:autoSpaceDE w:val="0"/>
        <w:autoSpaceDN w:val="0"/>
        <w:adjustRightInd w:val="0"/>
        <w:rPr>
          <w:rFonts w:cstheme="minorHAnsi"/>
          <w:lang w:val="en-US"/>
        </w:rPr>
      </w:pPr>
    </w:p>
    <w:p w:rsidR="00F53C96" w:rsidRPr="00F53C96" w:rsidRDefault="00F53C96" w:rsidP="00F53C96">
      <w:pPr>
        <w:autoSpaceDE w:val="0"/>
        <w:autoSpaceDN w:val="0"/>
        <w:adjustRightInd w:val="0"/>
        <w:rPr>
          <w:rFonts w:cstheme="minorHAnsi"/>
          <w:lang w:val="en-US"/>
        </w:rPr>
      </w:pPr>
      <w:r w:rsidRPr="00F53C96">
        <w:rPr>
          <w:rFonts w:cstheme="minorHAnsi"/>
          <w:lang w:val="en-US"/>
        </w:rPr>
        <w:t>Bonhoeffer’s life review is clearly dominated by a generativity script. Intergenerational ethical responsibility is not one theme among others but determines its plot, as becomes especially visible in his Account at the Turn of the Year 1942-1943 and in his Thoughts on the Day of Baptism</w:t>
      </w:r>
      <w:r w:rsidR="004677CA">
        <w:rPr>
          <w:rFonts w:cstheme="minorHAnsi"/>
          <w:lang w:val="en-US"/>
        </w:rPr>
        <w:t xml:space="preserve"> </w:t>
      </w:r>
      <w:r w:rsidRPr="00F53C96">
        <w:rPr>
          <w:rFonts w:cstheme="minorHAnsi"/>
          <w:lang w:val="en-US"/>
        </w:rPr>
        <w:t>(DBWE 8</w:t>
      </w:r>
      <w:r w:rsidR="004677CA">
        <w:rPr>
          <w:rFonts w:cstheme="minorHAnsi"/>
          <w:lang w:val="en-US"/>
        </w:rPr>
        <w:t xml:space="preserve">: 37-52, resp. </w:t>
      </w:r>
      <w:r w:rsidRPr="00F53C96">
        <w:rPr>
          <w:rFonts w:cstheme="minorHAnsi"/>
          <w:lang w:val="en-US"/>
        </w:rPr>
        <w:t xml:space="preserve">383 – 390). In his Account he writes, after quoting Jeremiah 32,15  – as he did before in his 1937 New Year’s Eve sermon, mentioned above - that </w:t>
      </w:r>
      <w:r w:rsidR="00BA6353">
        <w:rPr>
          <w:rFonts w:cstheme="minorHAnsi"/>
          <w:lang w:val="en-US"/>
        </w:rPr>
        <w:t>‘</w:t>
      </w:r>
      <w:r w:rsidRPr="00F53C96">
        <w:rPr>
          <w:rFonts w:cstheme="minorHAnsi"/>
          <w:lang w:val="en-US"/>
        </w:rPr>
        <w:t xml:space="preserve">in the light of the utter deprivation of any future’ he and his co-resisters will have </w:t>
      </w:r>
      <w:r w:rsidR="00BA6353">
        <w:rPr>
          <w:rFonts w:cstheme="minorHAnsi"/>
          <w:lang w:val="en-US"/>
        </w:rPr>
        <w:t>‘</w:t>
      </w:r>
      <w:r w:rsidRPr="00F53C96">
        <w:rPr>
          <w:rFonts w:cstheme="minorHAnsi"/>
          <w:lang w:val="en-US"/>
        </w:rPr>
        <w:t>to think and act with an eye on the coming generation and to be ready to move without fear and worry.</w:t>
      </w:r>
      <w:r w:rsidR="00BA6353">
        <w:rPr>
          <w:rFonts w:cstheme="minorHAnsi"/>
          <w:lang w:val="en-US"/>
        </w:rPr>
        <w:t>’</w:t>
      </w:r>
      <w:r w:rsidRPr="00F53C96">
        <w:rPr>
          <w:rFonts w:cstheme="minorHAnsi"/>
          <w:lang w:val="en-US"/>
        </w:rPr>
        <w:t xml:space="preserve"> (DBWE 8</w:t>
      </w:r>
      <w:r w:rsidR="004677CA">
        <w:rPr>
          <w:rFonts w:cstheme="minorHAnsi"/>
          <w:lang w:val="en-US"/>
        </w:rPr>
        <w:t xml:space="preserve">: </w:t>
      </w:r>
      <w:r w:rsidRPr="00F53C96">
        <w:rPr>
          <w:rFonts w:cstheme="minorHAnsi"/>
          <w:lang w:val="en-US"/>
        </w:rPr>
        <w:t xml:space="preserve">50).  </w:t>
      </w:r>
    </w:p>
    <w:p w:rsidR="00F53C96" w:rsidRPr="00F53C96" w:rsidRDefault="00F53C96" w:rsidP="00F53C96">
      <w:pPr>
        <w:autoSpaceDE w:val="0"/>
        <w:autoSpaceDN w:val="0"/>
        <w:adjustRightInd w:val="0"/>
        <w:rPr>
          <w:rFonts w:cstheme="minorHAnsi"/>
          <w:lang w:val="en-US"/>
        </w:rPr>
      </w:pPr>
      <w:r w:rsidRPr="00F53C96">
        <w:rPr>
          <w:rFonts w:cstheme="minorHAnsi"/>
          <w:lang w:val="en-US"/>
        </w:rPr>
        <w:t xml:space="preserve">McAdams observes that in generativity scripts of highly generative people belief in the future is not just a personal conviction but an essential requirement for the narrative. </w:t>
      </w:r>
      <w:r w:rsidRPr="00F53C96">
        <w:rPr>
          <w:rFonts w:cstheme="minorHAnsi"/>
          <w:lang w:val="en-US" w:bidi="he-IL"/>
        </w:rPr>
        <w:t>Generativity requires optimism, even when it is not justified by the facts.</w:t>
      </w:r>
      <w:r w:rsidRPr="00F53C96">
        <w:rPr>
          <w:rFonts w:cstheme="minorHAnsi"/>
          <w:b/>
          <w:bCs/>
          <w:lang w:val="en-US" w:bidi="he-IL"/>
        </w:rPr>
        <w:t xml:space="preserve"> </w:t>
      </w:r>
      <w:r w:rsidRPr="00F53C96">
        <w:rPr>
          <w:rFonts w:cstheme="minorHAnsi"/>
          <w:lang w:val="en-US"/>
        </w:rPr>
        <w:t xml:space="preserve">In light of this, Bonhoeffer’s strong plea for optimism in the </w:t>
      </w:r>
      <w:r w:rsidRPr="00F53C96">
        <w:rPr>
          <w:rFonts w:cstheme="minorHAnsi"/>
          <w:i/>
          <w:iCs/>
          <w:lang w:val="en-US"/>
        </w:rPr>
        <w:t>Account at the Turn of the Year 1942-1943</w:t>
      </w:r>
      <w:r w:rsidRPr="00F53C96">
        <w:rPr>
          <w:rFonts w:cstheme="minorHAnsi"/>
          <w:lang w:val="en-US"/>
        </w:rPr>
        <w:t xml:space="preserve"> becomes understandable. He admits that given the situation </w:t>
      </w:r>
      <w:r w:rsidR="00BA6353">
        <w:rPr>
          <w:rFonts w:cstheme="minorHAnsi"/>
          <w:lang w:val="en-US"/>
        </w:rPr>
        <w:t>‘</w:t>
      </w:r>
      <w:r w:rsidRPr="00F53C96">
        <w:rPr>
          <w:rFonts w:cstheme="minorHAnsi"/>
          <w:lang w:val="en-US"/>
        </w:rPr>
        <w:t>it is more sensible to be pessimistic</w:t>
      </w:r>
      <w:r w:rsidR="00BA6353">
        <w:rPr>
          <w:rFonts w:cstheme="minorHAnsi"/>
          <w:lang w:val="en-US"/>
        </w:rPr>
        <w:t>’</w:t>
      </w:r>
      <w:r w:rsidRPr="00F53C96">
        <w:rPr>
          <w:rFonts w:cstheme="minorHAnsi"/>
          <w:lang w:val="en-US"/>
        </w:rPr>
        <w:t xml:space="preserve">. Therefore, </w:t>
      </w:r>
      <w:r w:rsidR="00BA6353">
        <w:rPr>
          <w:rFonts w:cstheme="minorHAnsi"/>
          <w:lang w:val="en-US" w:bidi="he-IL"/>
        </w:rPr>
        <w:t>‘</w:t>
      </w:r>
      <w:r w:rsidRPr="00F53C96">
        <w:rPr>
          <w:rFonts w:cstheme="minorHAnsi"/>
          <w:lang w:val="en-US" w:bidi="he-IL"/>
        </w:rPr>
        <w:t>[</w:t>
      </w:r>
      <w:proofErr w:type="spellStart"/>
      <w:r w:rsidRPr="00F53C96">
        <w:rPr>
          <w:rFonts w:cstheme="minorHAnsi"/>
          <w:lang w:val="en-US" w:bidi="he-IL"/>
        </w:rPr>
        <w:t>i</w:t>
      </w:r>
      <w:proofErr w:type="spellEnd"/>
      <w:r w:rsidRPr="00F53C96">
        <w:rPr>
          <w:rFonts w:cstheme="minorHAnsi"/>
          <w:lang w:val="en-US" w:bidi="he-IL"/>
        </w:rPr>
        <w:t>]n its essence optimism is not a way of looking at the present situation but a power of life (..) a power that never abandons the future to the opponent, but lays claim on it.</w:t>
      </w:r>
      <w:r w:rsidR="00BA6353">
        <w:rPr>
          <w:rFonts w:cstheme="minorHAnsi"/>
          <w:lang w:val="en-US" w:bidi="he-IL"/>
        </w:rPr>
        <w:t>’</w:t>
      </w:r>
      <w:r w:rsidRPr="00F53C96">
        <w:rPr>
          <w:rFonts w:cstheme="minorHAnsi"/>
          <w:lang w:val="en-US" w:bidi="he-IL"/>
        </w:rPr>
        <w:t xml:space="preserve"> (DBWE 8</w:t>
      </w:r>
      <w:r w:rsidR="00783432">
        <w:rPr>
          <w:rFonts w:cstheme="minorHAnsi"/>
          <w:lang w:val="en-US" w:bidi="he-IL"/>
        </w:rPr>
        <w:t xml:space="preserve">: </w:t>
      </w:r>
      <w:r w:rsidRPr="00F53C96">
        <w:rPr>
          <w:rFonts w:cstheme="minorHAnsi"/>
          <w:lang w:val="en-US" w:bidi="he-IL"/>
        </w:rPr>
        <w:t xml:space="preserve">50f.) </w:t>
      </w:r>
      <w:r w:rsidRPr="00F53C96">
        <w:rPr>
          <w:rFonts w:cstheme="minorHAnsi"/>
          <w:lang w:val="en-US"/>
        </w:rPr>
        <w:t xml:space="preserve">Bonhoeffer’s narrative is arranged here according to what McAdams calls a </w:t>
      </w:r>
      <w:r w:rsidRPr="00F53C96">
        <w:rPr>
          <w:rFonts w:cstheme="minorHAnsi"/>
          <w:i/>
          <w:iCs/>
          <w:lang w:val="en-US"/>
        </w:rPr>
        <w:t>redemption sequence</w:t>
      </w:r>
      <w:r w:rsidRPr="00F53C96">
        <w:rPr>
          <w:rFonts w:cstheme="minorHAnsi"/>
          <w:lang w:val="en-US" w:bidi="he-IL"/>
        </w:rPr>
        <w:t xml:space="preserve">: </w:t>
      </w:r>
      <w:r w:rsidR="00BA6353">
        <w:rPr>
          <w:rFonts w:cstheme="minorHAnsi"/>
          <w:lang w:val="en-US" w:bidi="he-IL"/>
        </w:rPr>
        <w:t>‘</w:t>
      </w:r>
      <w:r w:rsidRPr="00F53C96">
        <w:rPr>
          <w:rFonts w:cstheme="minorHAnsi"/>
          <w:lang w:val="en-US" w:bidi="he-IL"/>
        </w:rPr>
        <w:t>A bad scene is redeemed, salvaged, made better by that which follows.</w:t>
      </w:r>
      <w:r w:rsidR="00BA6353">
        <w:rPr>
          <w:rFonts w:cstheme="minorHAnsi"/>
          <w:lang w:val="en-US" w:bidi="he-IL"/>
        </w:rPr>
        <w:t>’</w:t>
      </w:r>
      <w:r w:rsidR="00703689">
        <w:rPr>
          <w:rStyle w:val="Voetnootmarkering"/>
          <w:rFonts w:cstheme="minorHAnsi"/>
          <w:lang w:val="en-US" w:bidi="he-IL"/>
        </w:rPr>
        <w:footnoteReference w:id="16"/>
      </w:r>
      <w:r w:rsidR="00703689">
        <w:rPr>
          <w:rFonts w:cstheme="minorHAnsi"/>
          <w:lang w:val="en-US" w:bidi="he-IL"/>
        </w:rPr>
        <w:t xml:space="preserve"> </w:t>
      </w:r>
      <w:r w:rsidRPr="00F53C96">
        <w:rPr>
          <w:rFonts w:cstheme="minorHAnsi"/>
          <w:lang w:val="en-US" w:bidi="he-IL"/>
        </w:rPr>
        <w:t xml:space="preserve">In the opposite narrative movement, coined by McAdams as a </w:t>
      </w:r>
      <w:r w:rsidRPr="00F53C96">
        <w:rPr>
          <w:rFonts w:cstheme="minorHAnsi"/>
          <w:i/>
          <w:iCs/>
          <w:lang w:val="en-US" w:bidi="he-IL"/>
        </w:rPr>
        <w:t xml:space="preserve">contamination sequence, </w:t>
      </w:r>
      <w:r w:rsidRPr="00F53C96">
        <w:rPr>
          <w:rFonts w:cstheme="minorHAnsi"/>
          <w:lang w:val="en-US" w:bidi="he-IL"/>
        </w:rPr>
        <w:t>an extremely good scene is ruined, spoiled, or sullied by a bad</w:t>
      </w:r>
      <w:r w:rsidRPr="00F53C96">
        <w:rPr>
          <w:rFonts w:cstheme="minorHAnsi"/>
          <w:i/>
          <w:iCs/>
          <w:lang w:val="en-US" w:bidi="he-IL"/>
        </w:rPr>
        <w:t xml:space="preserve"> </w:t>
      </w:r>
      <w:r w:rsidRPr="00F53C96">
        <w:rPr>
          <w:rFonts w:cstheme="minorHAnsi"/>
          <w:lang w:val="en-US" w:bidi="he-IL"/>
        </w:rPr>
        <w:t xml:space="preserve">scene that follows it. People with a low generativity score, often arrange their life review narrative accordingly. Bonhoeffer however virulently rejects that attitude of people </w:t>
      </w:r>
      <w:r w:rsidR="00BA6353">
        <w:rPr>
          <w:rFonts w:cstheme="minorHAnsi"/>
          <w:lang w:val="en-US" w:bidi="he-IL"/>
        </w:rPr>
        <w:t>‘</w:t>
      </w:r>
      <w:r w:rsidRPr="00F53C96">
        <w:rPr>
          <w:rFonts w:cstheme="minorHAnsi"/>
          <w:lang w:val="en-US" w:bidi="he-IL"/>
        </w:rPr>
        <w:t>who believe in chaos disorder, and catastrophe, perceiving it in what is happening now. They withdraw (…) from the responsibility for ongoing life, for building anew, for the coming generations.</w:t>
      </w:r>
      <w:r w:rsidR="00BA6353">
        <w:rPr>
          <w:rFonts w:cstheme="minorHAnsi"/>
          <w:lang w:val="en-US" w:bidi="he-IL"/>
        </w:rPr>
        <w:t>’</w:t>
      </w:r>
      <w:r w:rsidRPr="00F53C96">
        <w:rPr>
          <w:rFonts w:cstheme="minorHAnsi"/>
          <w:lang w:val="en-US" w:bidi="he-IL"/>
        </w:rPr>
        <w:t xml:space="preserve"> (DBWE </w:t>
      </w:r>
      <w:r w:rsidR="00783432">
        <w:rPr>
          <w:rFonts w:cstheme="minorHAnsi"/>
          <w:lang w:val="en-US" w:bidi="he-IL"/>
        </w:rPr>
        <w:t xml:space="preserve">8: </w:t>
      </w:r>
      <w:r w:rsidRPr="00F53C96">
        <w:rPr>
          <w:rFonts w:cstheme="minorHAnsi"/>
          <w:lang w:val="en-US" w:bidi="he-IL"/>
        </w:rPr>
        <w:t>51).  D</w:t>
      </w:r>
      <w:r w:rsidRPr="00F53C96">
        <w:rPr>
          <w:rFonts w:cstheme="minorHAnsi"/>
          <w:lang w:val="en-US"/>
        </w:rPr>
        <w:t>eep pessimism, cynicism, despair, and hopelessness undermine generativity, for they suggest that investments in the future are not likely to bring positive returns. Erikson talks about a ‘belief in the species’</w:t>
      </w:r>
      <w:r w:rsidR="00703689">
        <w:rPr>
          <w:rFonts w:cstheme="minorHAnsi"/>
          <w:lang w:val="en-US"/>
        </w:rPr>
        <w:t xml:space="preserve"> </w:t>
      </w:r>
      <w:r w:rsidRPr="00F53C96">
        <w:rPr>
          <w:rFonts w:cstheme="minorHAnsi"/>
          <w:lang w:val="en-US"/>
        </w:rPr>
        <w:t xml:space="preserve">—a faith in the ultimate goodness and worthwhileness of the human enterprise as a necessary attitudinal characteristic for generative </w:t>
      </w:r>
      <w:r w:rsidRPr="00F53C96">
        <w:rPr>
          <w:rFonts w:cstheme="minorHAnsi"/>
          <w:lang w:val="en-US"/>
        </w:rPr>
        <w:lastRenderedPageBreak/>
        <w:t>behavior.</w:t>
      </w:r>
      <w:r w:rsidR="00703689">
        <w:rPr>
          <w:rStyle w:val="Voetnootmarkering"/>
          <w:rFonts w:cstheme="minorHAnsi"/>
          <w:lang w:val="en-US"/>
        </w:rPr>
        <w:footnoteReference w:id="17"/>
      </w:r>
      <w:r w:rsidRPr="00F53C96">
        <w:rPr>
          <w:rFonts w:cstheme="minorHAnsi"/>
          <w:lang w:val="en-US"/>
        </w:rPr>
        <w:t xml:space="preserve"> Optimism is not a psychological character treat, but an ethical obligation. </w:t>
      </w:r>
    </w:p>
    <w:p w:rsidR="00F53C96" w:rsidRPr="00F53C96" w:rsidRDefault="00F53C96" w:rsidP="00F53C96">
      <w:pPr>
        <w:autoSpaceDE w:val="0"/>
        <w:autoSpaceDN w:val="0"/>
        <w:adjustRightInd w:val="0"/>
        <w:rPr>
          <w:rFonts w:cstheme="minorHAnsi"/>
          <w:lang w:val="en-US"/>
        </w:rPr>
      </w:pPr>
      <w:r w:rsidRPr="00F53C96">
        <w:rPr>
          <w:rFonts w:cstheme="minorHAnsi"/>
          <w:lang w:val="en-US" w:bidi="he-IL"/>
        </w:rPr>
        <w:t xml:space="preserve">In Bonhoeffer’s </w:t>
      </w:r>
      <w:r w:rsidRPr="00F53C96">
        <w:rPr>
          <w:rFonts w:cstheme="minorHAnsi"/>
          <w:i/>
          <w:iCs/>
          <w:lang w:val="en-US"/>
        </w:rPr>
        <w:t xml:space="preserve">Thoughts on the Day of Baptism </w:t>
      </w:r>
      <w:r w:rsidRPr="00F53C96">
        <w:rPr>
          <w:rFonts w:cstheme="minorHAnsi"/>
          <w:lang w:val="en-US"/>
        </w:rPr>
        <w:t>(DBWE 8</w:t>
      </w:r>
      <w:r w:rsidR="00703689">
        <w:rPr>
          <w:rFonts w:cstheme="minorHAnsi"/>
          <w:lang w:val="en-US"/>
        </w:rPr>
        <w:t xml:space="preserve">: </w:t>
      </w:r>
      <w:r w:rsidRPr="00F53C96">
        <w:rPr>
          <w:rFonts w:cstheme="minorHAnsi"/>
          <w:lang w:val="en-US"/>
        </w:rPr>
        <w:t xml:space="preserve">383 – 390) another common feature of life reviews of highly generativity persons, as described by McAdams, becomes visible.  With a strong commitment to the future of the next generation their story often comprises the recognition of early blessings enjoyed in childhood that separates them from others, </w:t>
      </w:r>
      <w:r w:rsidR="00D307E4">
        <w:rPr>
          <w:rFonts w:cstheme="minorHAnsi"/>
          <w:lang w:val="en-US"/>
        </w:rPr>
        <w:t xml:space="preserve">those </w:t>
      </w:r>
      <w:r w:rsidRPr="00F53C96">
        <w:rPr>
          <w:rFonts w:cstheme="minorHAnsi"/>
          <w:lang w:val="en-US"/>
        </w:rPr>
        <w:t xml:space="preserve">less </w:t>
      </w:r>
      <w:proofErr w:type="spellStart"/>
      <w:r w:rsidRPr="00F53C96">
        <w:rPr>
          <w:rFonts w:cstheme="minorHAnsi"/>
          <w:lang w:val="en-US"/>
        </w:rPr>
        <w:t>fortuned</w:t>
      </w:r>
      <w:proofErr w:type="spellEnd"/>
      <w:r w:rsidRPr="00F53C96">
        <w:rPr>
          <w:rFonts w:cstheme="minorHAnsi"/>
          <w:lang w:val="en-US"/>
        </w:rPr>
        <w:t xml:space="preserve">. </w:t>
      </w:r>
      <w:r w:rsidRPr="00F53C96">
        <w:rPr>
          <w:rFonts w:cstheme="minorHAnsi"/>
          <w:lang w:val="en-US" w:bidi="he-IL"/>
        </w:rPr>
        <w:t>The blessing stands in sharp contrast to the realization,</w:t>
      </w:r>
      <w:r w:rsidRPr="00F53C96">
        <w:rPr>
          <w:rFonts w:cstheme="minorHAnsi"/>
          <w:lang w:val="en-US"/>
        </w:rPr>
        <w:t xml:space="preserve"> again in early childhood, </w:t>
      </w:r>
      <w:r w:rsidRPr="00F53C96">
        <w:rPr>
          <w:rFonts w:cstheme="minorHAnsi"/>
          <w:lang w:val="en-US" w:bidi="he-IL"/>
        </w:rPr>
        <w:t>that other people suffer</w:t>
      </w:r>
      <w:r w:rsidRPr="00F53C96">
        <w:rPr>
          <w:rFonts w:cstheme="minorHAnsi"/>
          <w:lang w:val="en-US"/>
        </w:rPr>
        <w:t xml:space="preserve">. </w:t>
      </w:r>
      <w:r w:rsidR="00BA6353">
        <w:rPr>
          <w:rFonts w:cstheme="minorHAnsi"/>
          <w:lang w:val="en-US"/>
        </w:rPr>
        <w:t>‘</w:t>
      </w:r>
      <w:r w:rsidRPr="00F53C96">
        <w:rPr>
          <w:rFonts w:cstheme="minorHAnsi"/>
          <w:lang w:val="en-US"/>
        </w:rPr>
        <w:t>The clash between early blessing and the suffering of others sets up a tension in the story and motivates the protagonist to see him- or herself as “called” or “destined” to be of good use to other people.</w:t>
      </w:r>
      <w:r w:rsidR="00BA6353">
        <w:rPr>
          <w:rFonts w:cstheme="minorHAnsi"/>
          <w:lang w:val="en-US"/>
        </w:rPr>
        <w:t>’</w:t>
      </w:r>
      <w:r w:rsidRPr="00F53C96">
        <w:rPr>
          <w:rFonts w:cstheme="minorHAnsi"/>
          <w:lang w:val="en-US"/>
        </w:rPr>
        <w:t xml:space="preserve"> </w:t>
      </w:r>
      <w:r w:rsidR="00641C6C">
        <w:rPr>
          <w:rStyle w:val="Voetnootmarkering"/>
          <w:rFonts w:cstheme="minorHAnsi"/>
          <w:lang w:val="en-US"/>
        </w:rPr>
        <w:footnoteReference w:id="18"/>
      </w:r>
      <w:r w:rsidRPr="00F53C96">
        <w:rPr>
          <w:rFonts w:cstheme="minorHAnsi"/>
          <w:lang w:val="en-US"/>
        </w:rPr>
        <w:t xml:space="preserve"> In this context we may think of Bonhoeffer’s early decision to give catechism lessons to poor youngsters in Berlin-Wedding, a worker’s area, in everything the opposite of his own Berlin-</w:t>
      </w:r>
      <w:proofErr w:type="spellStart"/>
      <w:r w:rsidRPr="00F53C96">
        <w:rPr>
          <w:rFonts w:cstheme="minorHAnsi"/>
          <w:lang w:val="en-US"/>
        </w:rPr>
        <w:t>Grünewald</w:t>
      </w:r>
      <w:proofErr w:type="spellEnd"/>
      <w:r w:rsidRPr="00F53C96">
        <w:rPr>
          <w:rFonts w:cstheme="minorHAnsi"/>
          <w:lang w:val="en-US"/>
        </w:rPr>
        <w:t>. A commitment later followed by his engagement with African Americans in the US</w:t>
      </w:r>
      <w:r w:rsidR="00703689">
        <w:rPr>
          <w:rFonts w:cstheme="minorHAnsi"/>
          <w:lang w:val="en-US"/>
        </w:rPr>
        <w:t xml:space="preserve">, </w:t>
      </w:r>
      <w:r w:rsidRPr="00F53C96">
        <w:rPr>
          <w:rFonts w:cstheme="minorHAnsi"/>
          <w:lang w:val="en-US"/>
        </w:rPr>
        <w:t>the Jews in Germany</w:t>
      </w:r>
      <w:r w:rsidR="00703689">
        <w:rPr>
          <w:rFonts w:cstheme="minorHAnsi"/>
          <w:lang w:val="en-US"/>
        </w:rPr>
        <w:t>, and all those ‘who see the great events of world history from below, from the perspective of the outcasts, the suspects, the maltreated, the powerless, the oppressed and reviled’ (DBWE 8: 52)</w:t>
      </w:r>
    </w:p>
    <w:p w:rsidR="00F53C96" w:rsidRDefault="00F53C96" w:rsidP="00F53C96">
      <w:pPr>
        <w:autoSpaceDE w:val="0"/>
        <w:autoSpaceDN w:val="0"/>
        <w:adjustRightInd w:val="0"/>
        <w:rPr>
          <w:rFonts w:cstheme="minorHAnsi"/>
          <w:lang w:val="en-US"/>
        </w:rPr>
      </w:pPr>
      <w:r w:rsidRPr="00F53C96">
        <w:rPr>
          <w:rFonts w:cstheme="minorHAnsi"/>
          <w:lang w:val="en-US"/>
        </w:rPr>
        <w:t xml:space="preserve">Bonhoeffer expresses how his privileged upbringing creates </w:t>
      </w:r>
      <w:r w:rsidR="00BA6353">
        <w:rPr>
          <w:rFonts w:cstheme="minorHAnsi"/>
          <w:lang w:val="en-US"/>
        </w:rPr>
        <w:t>‘</w:t>
      </w:r>
      <w:r w:rsidRPr="00F53C96">
        <w:rPr>
          <w:rFonts w:cstheme="minorHAnsi"/>
          <w:lang w:val="en-US"/>
        </w:rPr>
        <w:t>a deep-rooted obligation to be guardians of a great historical heritage and intellectual [</w:t>
      </w:r>
      <w:proofErr w:type="spellStart"/>
      <w:r w:rsidRPr="00F53C96">
        <w:rPr>
          <w:rFonts w:cstheme="minorHAnsi"/>
          <w:i/>
          <w:iCs/>
          <w:lang w:val="en-US"/>
        </w:rPr>
        <w:t>geistiger</w:t>
      </w:r>
      <w:proofErr w:type="spellEnd"/>
      <w:r w:rsidRPr="00F53C96">
        <w:rPr>
          <w:rFonts w:cstheme="minorHAnsi"/>
          <w:lang w:val="en-US"/>
        </w:rPr>
        <w:t>] tradition.</w:t>
      </w:r>
      <w:r w:rsidR="00BA6353">
        <w:rPr>
          <w:rFonts w:cstheme="minorHAnsi"/>
          <w:lang w:val="en-US"/>
        </w:rPr>
        <w:t>’</w:t>
      </w:r>
      <w:r w:rsidRPr="00F53C96">
        <w:rPr>
          <w:rFonts w:cstheme="minorHAnsi"/>
          <w:lang w:val="en-US"/>
        </w:rPr>
        <w:t xml:space="preserve"> (DBWE 8</w:t>
      </w:r>
      <w:r w:rsidR="00703689">
        <w:rPr>
          <w:rFonts w:cstheme="minorHAnsi"/>
          <w:lang w:val="en-US"/>
        </w:rPr>
        <w:t xml:space="preserve">: </w:t>
      </w:r>
      <w:r w:rsidRPr="00F53C96">
        <w:rPr>
          <w:rFonts w:cstheme="minorHAnsi"/>
          <w:lang w:val="en-US"/>
        </w:rPr>
        <w:t xml:space="preserve">384). Being part of a social and cultural elite generates a calling, a moral obligation to take responsibility for the wellbeing of those who suffer. Noblesse </w:t>
      </w:r>
      <w:proofErr w:type="gramStart"/>
      <w:r w:rsidRPr="00F53C96">
        <w:rPr>
          <w:rFonts w:cstheme="minorHAnsi"/>
          <w:lang w:val="en-US"/>
        </w:rPr>
        <w:t>oblige</w:t>
      </w:r>
      <w:proofErr w:type="gramEnd"/>
      <w:r w:rsidRPr="00F53C96">
        <w:rPr>
          <w:rFonts w:cstheme="minorHAnsi"/>
          <w:lang w:val="en-US"/>
        </w:rPr>
        <w:t xml:space="preserve">. Even when this means that cherished privileges have to be given up; even when ultimately one’s life has to be sacrificed. In my view, Bonhoeffer shows a genuine communal style of generativity in writing then: </w:t>
      </w:r>
      <w:r w:rsidR="00BA6353">
        <w:rPr>
          <w:rFonts w:cstheme="minorHAnsi"/>
          <w:lang w:val="en-US"/>
        </w:rPr>
        <w:t>‘</w:t>
      </w:r>
      <w:r w:rsidRPr="00F53C96">
        <w:rPr>
          <w:rFonts w:cstheme="minorHAnsi"/>
          <w:lang w:val="en-US"/>
        </w:rPr>
        <w:t>Not in embittered and barren pride, but consciously yielding to divine judgment, we shall prove ourselves worthy to survive [</w:t>
      </w:r>
      <w:proofErr w:type="spellStart"/>
      <w:r w:rsidRPr="00F53C96">
        <w:rPr>
          <w:rFonts w:cstheme="minorHAnsi"/>
          <w:lang w:val="en-US"/>
        </w:rPr>
        <w:t>als</w:t>
      </w:r>
      <w:proofErr w:type="spellEnd"/>
      <w:r w:rsidRPr="00F53C96">
        <w:rPr>
          <w:rFonts w:cstheme="minorHAnsi"/>
          <w:lang w:val="en-US"/>
        </w:rPr>
        <w:t xml:space="preserve"> </w:t>
      </w:r>
      <w:proofErr w:type="spellStart"/>
      <w:r w:rsidRPr="00F53C96">
        <w:rPr>
          <w:rFonts w:cstheme="minorHAnsi"/>
          <w:lang w:val="en-US"/>
        </w:rPr>
        <w:t>lebenstark</w:t>
      </w:r>
      <w:proofErr w:type="spellEnd"/>
      <w:r w:rsidRPr="00F53C96">
        <w:rPr>
          <w:rFonts w:cstheme="minorHAnsi"/>
          <w:lang w:val="en-US"/>
        </w:rPr>
        <w:t xml:space="preserve"> </w:t>
      </w:r>
      <w:proofErr w:type="spellStart"/>
      <w:r w:rsidRPr="00F53C96">
        <w:rPr>
          <w:rFonts w:cstheme="minorHAnsi"/>
          <w:lang w:val="en-US"/>
        </w:rPr>
        <w:t>erweisen</w:t>
      </w:r>
      <w:proofErr w:type="spellEnd"/>
      <w:r w:rsidRPr="00F53C96">
        <w:rPr>
          <w:rFonts w:cstheme="minorHAnsi"/>
          <w:lang w:val="en-US"/>
        </w:rPr>
        <w:t>] by identifying ourselves generously and selflessly with the whole community and the suffering of our fellow human beings.</w:t>
      </w:r>
      <w:r w:rsidR="00BA6353">
        <w:rPr>
          <w:rFonts w:cstheme="minorHAnsi"/>
          <w:lang w:val="en-US"/>
        </w:rPr>
        <w:t>’</w:t>
      </w:r>
      <w:r w:rsidRPr="00F53C96">
        <w:rPr>
          <w:rFonts w:cstheme="minorHAnsi"/>
          <w:lang w:val="en-US"/>
        </w:rPr>
        <w:t xml:space="preserve"> [in </w:t>
      </w:r>
      <w:proofErr w:type="spellStart"/>
      <w:r w:rsidRPr="00F53C96">
        <w:rPr>
          <w:rFonts w:cstheme="minorHAnsi"/>
          <w:lang w:val="en-US"/>
        </w:rPr>
        <w:t>weitherziger</w:t>
      </w:r>
      <w:proofErr w:type="spellEnd"/>
      <w:r w:rsidRPr="00F53C96">
        <w:rPr>
          <w:rFonts w:cstheme="minorHAnsi"/>
          <w:lang w:val="en-US"/>
        </w:rPr>
        <w:t xml:space="preserve"> und </w:t>
      </w:r>
      <w:proofErr w:type="spellStart"/>
      <w:r w:rsidRPr="00F53C96">
        <w:rPr>
          <w:rFonts w:cstheme="minorHAnsi"/>
          <w:lang w:val="en-US"/>
        </w:rPr>
        <w:t>selbstlose</w:t>
      </w:r>
      <w:proofErr w:type="spellEnd"/>
      <w:r w:rsidRPr="00F53C96">
        <w:rPr>
          <w:rFonts w:cstheme="minorHAnsi"/>
          <w:lang w:val="en-US"/>
        </w:rPr>
        <w:t xml:space="preserve"> </w:t>
      </w:r>
      <w:proofErr w:type="spellStart"/>
      <w:r w:rsidRPr="00F53C96">
        <w:rPr>
          <w:rFonts w:cstheme="minorHAnsi"/>
          <w:lang w:val="en-US"/>
        </w:rPr>
        <w:t>Teilnahme</w:t>
      </w:r>
      <w:proofErr w:type="spellEnd"/>
      <w:r w:rsidRPr="00F53C96">
        <w:rPr>
          <w:rFonts w:cstheme="minorHAnsi"/>
          <w:lang w:val="en-US"/>
        </w:rPr>
        <w:t xml:space="preserve"> am </w:t>
      </w:r>
      <w:proofErr w:type="spellStart"/>
      <w:r w:rsidRPr="00F53C96">
        <w:rPr>
          <w:rFonts w:cstheme="minorHAnsi"/>
          <w:lang w:val="en-US"/>
        </w:rPr>
        <w:t>Ganzen</w:t>
      </w:r>
      <w:proofErr w:type="spellEnd"/>
      <w:r w:rsidRPr="00F53C96">
        <w:rPr>
          <w:rFonts w:cstheme="minorHAnsi"/>
          <w:lang w:val="en-US"/>
        </w:rPr>
        <w:t>] Bonhoeffer writes. (DBWE 8</w:t>
      </w:r>
      <w:r w:rsidR="00723864">
        <w:rPr>
          <w:rFonts w:cstheme="minorHAnsi"/>
          <w:lang w:val="en-US"/>
        </w:rPr>
        <w:t xml:space="preserve">: </w:t>
      </w:r>
      <w:r w:rsidRPr="00F53C96">
        <w:rPr>
          <w:rFonts w:cstheme="minorHAnsi"/>
          <w:lang w:val="en-US"/>
        </w:rPr>
        <w:t>389)</w:t>
      </w:r>
      <w:r w:rsidRPr="00F53C96">
        <w:rPr>
          <w:rStyle w:val="Voetnootmarkering"/>
          <w:rFonts w:cstheme="minorHAnsi"/>
          <w:lang w:val="en-US"/>
        </w:rPr>
        <w:footnoteReference w:id="19"/>
      </w:r>
    </w:p>
    <w:p w:rsidR="00641C6C" w:rsidRDefault="00641C6C" w:rsidP="00F53C96">
      <w:pPr>
        <w:autoSpaceDE w:val="0"/>
        <w:autoSpaceDN w:val="0"/>
        <w:adjustRightInd w:val="0"/>
        <w:rPr>
          <w:rFonts w:cstheme="minorHAnsi"/>
          <w:lang w:val="en-US"/>
        </w:rPr>
      </w:pPr>
    </w:p>
    <w:p w:rsidR="00197264" w:rsidRDefault="00641C6C" w:rsidP="00641C6C">
      <w:pPr>
        <w:rPr>
          <w:rFonts w:cstheme="minorHAnsi"/>
          <w:color w:val="000000" w:themeColor="text1"/>
          <w:lang w:val="en-US"/>
        </w:rPr>
      </w:pPr>
      <w:r w:rsidRPr="00723864">
        <w:rPr>
          <w:rFonts w:eastAsia="Times New Roman" w:cstheme="minorHAnsi"/>
          <w:color w:val="000000" w:themeColor="text1"/>
          <w:shd w:val="clear" w:color="auto" w:fill="FFFFFF"/>
          <w:lang w:val="en-US" w:eastAsia="nl-NL"/>
        </w:rPr>
        <w:t xml:space="preserve">The </w:t>
      </w:r>
      <w:r w:rsidR="003E1DE2" w:rsidRPr="00723864">
        <w:rPr>
          <w:rFonts w:eastAsia="Times New Roman" w:cstheme="minorHAnsi"/>
          <w:color w:val="000000" w:themeColor="text1"/>
          <w:shd w:val="clear" w:color="auto" w:fill="FFFFFF"/>
          <w:lang w:val="en-US" w:eastAsia="nl-NL"/>
        </w:rPr>
        <w:t>idea</w:t>
      </w:r>
      <w:r w:rsidRPr="00723864">
        <w:rPr>
          <w:rFonts w:eastAsia="Times New Roman" w:cstheme="minorHAnsi"/>
          <w:color w:val="000000" w:themeColor="text1"/>
          <w:shd w:val="clear" w:color="auto" w:fill="FFFFFF"/>
          <w:lang w:val="en-US" w:eastAsia="nl-NL"/>
        </w:rPr>
        <w:t xml:space="preserve"> that being privileged entails </w:t>
      </w:r>
      <w:r w:rsidR="00723864">
        <w:rPr>
          <w:rFonts w:eastAsia="Times New Roman" w:cstheme="minorHAnsi"/>
          <w:color w:val="000000" w:themeColor="text1"/>
          <w:shd w:val="clear" w:color="auto" w:fill="FFFFFF"/>
          <w:lang w:val="en-US" w:eastAsia="nl-NL"/>
        </w:rPr>
        <w:t xml:space="preserve">a willingness to </w:t>
      </w:r>
      <w:r w:rsidRPr="00723864">
        <w:rPr>
          <w:rFonts w:eastAsia="Times New Roman" w:cstheme="minorHAnsi"/>
          <w:color w:val="000000" w:themeColor="text1"/>
          <w:shd w:val="clear" w:color="auto" w:fill="FFFFFF"/>
          <w:lang w:val="en-US" w:eastAsia="nl-NL"/>
        </w:rPr>
        <w:t xml:space="preserve">sacrifice becomes visible on a more theoretical level in </w:t>
      </w:r>
      <w:r w:rsidRPr="00723864">
        <w:rPr>
          <w:rFonts w:cstheme="minorHAnsi"/>
          <w:color w:val="000000" w:themeColor="text1"/>
          <w:lang w:val="en-US"/>
        </w:rPr>
        <w:t>Bonhoeffer’s analysis of the structure of responsible life (DBWE 4</w:t>
      </w:r>
      <w:r w:rsidR="00723864">
        <w:rPr>
          <w:rFonts w:cstheme="minorHAnsi"/>
          <w:color w:val="000000" w:themeColor="text1"/>
          <w:lang w:val="en-US"/>
        </w:rPr>
        <w:t xml:space="preserve">: </w:t>
      </w:r>
      <w:r w:rsidRPr="00723864">
        <w:rPr>
          <w:rFonts w:cstheme="minorHAnsi"/>
          <w:color w:val="000000" w:themeColor="text1"/>
          <w:lang w:val="en-US"/>
        </w:rPr>
        <w:t>257 – 299)</w:t>
      </w:r>
      <w:r w:rsidR="00723864">
        <w:rPr>
          <w:rFonts w:cstheme="minorHAnsi"/>
          <w:color w:val="000000" w:themeColor="text1"/>
          <w:lang w:val="en-US"/>
        </w:rPr>
        <w:t>. It starts</w:t>
      </w:r>
      <w:r w:rsidR="009E3F7C">
        <w:rPr>
          <w:rFonts w:cstheme="minorHAnsi"/>
          <w:color w:val="000000" w:themeColor="text1"/>
          <w:lang w:val="en-US"/>
        </w:rPr>
        <w:t xml:space="preserve"> </w:t>
      </w:r>
      <w:r w:rsidR="003E1DE2">
        <w:rPr>
          <w:rFonts w:cstheme="minorHAnsi"/>
          <w:color w:val="000000" w:themeColor="text1"/>
          <w:lang w:val="en-US"/>
        </w:rPr>
        <w:t xml:space="preserve">remarkably </w:t>
      </w:r>
      <w:r w:rsidR="00723864">
        <w:rPr>
          <w:rFonts w:cstheme="minorHAnsi"/>
          <w:color w:val="000000" w:themeColor="text1"/>
          <w:lang w:val="en-US"/>
        </w:rPr>
        <w:t>with arguing that responsibility is based on vicarious representative action [</w:t>
      </w:r>
      <w:proofErr w:type="spellStart"/>
      <w:r w:rsidR="00723864">
        <w:rPr>
          <w:rFonts w:cstheme="minorHAnsi"/>
          <w:color w:val="000000" w:themeColor="text1"/>
          <w:lang w:val="en-US"/>
        </w:rPr>
        <w:t>Stellvertretung</w:t>
      </w:r>
      <w:proofErr w:type="spellEnd"/>
      <w:r w:rsidR="00723864">
        <w:rPr>
          <w:rFonts w:cstheme="minorHAnsi"/>
          <w:color w:val="000000" w:themeColor="text1"/>
          <w:lang w:val="en-US"/>
        </w:rPr>
        <w:t>]. Bonhoeffer refers to relationships in which a person is literally required to act on behalf o</w:t>
      </w:r>
      <w:r w:rsidR="002C6C22">
        <w:rPr>
          <w:rFonts w:cstheme="minorHAnsi"/>
          <w:color w:val="000000" w:themeColor="text1"/>
          <w:lang w:val="en-US"/>
        </w:rPr>
        <w:t>f</w:t>
      </w:r>
      <w:r w:rsidR="00723864">
        <w:rPr>
          <w:rFonts w:cstheme="minorHAnsi"/>
          <w:color w:val="000000" w:themeColor="text1"/>
          <w:lang w:val="en-US"/>
        </w:rPr>
        <w:t xml:space="preserve"> others, </w:t>
      </w:r>
      <w:r w:rsidR="002C6C22">
        <w:rPr>
          <w:rFonts w:cstheme="minorHAnsi"/>
          <w:color w:val="000000" w:themeColor="text1"/>
          <w:lang w:val="en-US"/>
        </w:rPr>
        <w:t xml:space="preserve">‘for example as a father, as a statesman, or as the instructor of an apprentice.’ (DBW 4: 257).  The idea of vicarious representation </w:t>
      </w:r>
      <w:r w:rsidR="004A3AA5">
        <w:rPr>
          <w:rFonts w:cstheme="minorHAnsi"/>
          <w:color w:val="000000" w:themeColor="text1"/>
          <w:lang w:val="en-US"/>
        </w:rPr>
        <w:t xml:space="preserve">is </w:t>
      </w:r>
      <w:r w:rsidR="003E1DE2">
        <w:rPr>
          <w:rFonts w:cstheme="minorHAnsi"/>
          <w:color w:val="000000" w:themeColor="text1"/>
          <w:lang w:val="en-US"/>
        </w:rPr>
        <w:t xml:space="preserve">in the sequel </w:t>
      </w:r>
      <w:r w:rsidR="002C6C22">
        <w:rPr>
          <w:rFonts w:cstheme="minorHAnsi"/>
          <w:color w:val="000000" w:themeColor="text1"/>
          <w:lang w:val="en-US"/>
        </w:rPr>
        <w:t>theologically founded in Jesus</w:t>
      </w:r>
      <w:r w:rsidR="003E1DE2">
        <w:rPr>
          <w:rFonts w:cstheme="minorHAnsi"/>
          <w:color w:val="000000" w:themeColor="text1"/>
          <w:lang w:val="en-US"/>
        </w:rPr>
        <w:t xml:space="preserve"> Christ</w:t>
      </w:r>
      <w:r w:rsidR="002C6C22">
        <w:rPr>
          <w:rFonts w:cstheme="minorHAnsi"/>
          <w:color w:val="000000" w:themeColor="text1"/>
          <w:lang w:val="en-US"/>
        </w:rPr>
        <w:t>, taking responsibility for all humankind, bearing the selves of all human beings</w:t>
      </w:r>
      <w:r w:rsidR="003E1DE2">
        <w:rPr>
          <w:rFonts w:cstheme="minorHAnsi"/>
          <w:color w:val="000000" w:themeColor="text1"/>
          <w:lang w:val="en-US"/>
        </w:rPr>
        <w:t>.</w:t>
      </w:r>
      <w:r w:rsidR="002C6C22">
        <w:rPr>
          <w:rFonts w:cstheme="minorHAnsi"/>
          <w:color w:val="000000" w:themeColor="text1"/>
          <w:lang w:val="en-US"/>
        </w:rPr>
        <w:t xml:space="preserve"> </w:t>
      </w:r>
      <w:r w:rsidR="001F0A76">
        <w:rPr>
          <w:rFonts w:cstheme="minorHAnsi"/>
          <w:color w:val="000000" w:themeColor="text1"/>
          <w:lang w:val="en-US"/>
        </w:rPr>
        <w:t>H</w:t>
      </w:r>
      <w:r w:rsidR="002C6C22">
        <w:rPr>
          <w:rFonts w:cstheme="minorHAnsi"/>
          <w:color w:val="000000" w:themeColor="text1"/>
          <w:lang w:val="en-US"/>
        </w:rPr>
        <w:t xml:space="preserve">owever, </w:t>
      </w:r>
      <w:r w:rsidR="001F0A76">
        <w:rPr>
          <w:rFonts w:cstheme="minorHAnsi"/>
          <w:color w:val="000000" w:themeColor="text1"/>
          <w:lang w:val="en-US"/>
        </w:rPr>
        <w:t xml:space="preserve">when he wants to exemplify </w:t>
      </w:r>
      <w:r w:rsidR="00202181">
        <w:rPr>
          <w:rFonts w:cstheme="minorHAnsi"/>
          <w:color w:val="000000" w:themeColor="text1"/>
          <w:lang w:val="en-US"/>
        </w:rPr>
        <w:t>this Christological concept phenomenologically</w:t>
      </w:r>
      <w:r w:rsidR="001F0A76">
        <w:rPr>
          <w:rFonts w:cstheme="minorHAnsi"/>
          <w:color w:val="000000" w:themeColor="text1"/>
          <w:lang w:val="en-US"/>
        </w:rPr>
        <w:t xml:space="preserve">, </w:t>
      </w:r>
      <w:r w:rsidR="002C6C22">
        <w:rPr>
          <w:rFonts w:cstheme="minorHAnsi"/>
          <w:color w:val="000000" w:themeColor="text1"/>
          <w:lang w:val="en-US"/>
        </w:rPr>
        <w:t xml:space="preserve">Bonhoeffer refers </w:t>
      </w:r>
      <w:r w:rsidR="001F0A76">
        <w:rPr>
          <w:rFonts w:cstheme="minorHAnsi"/>
          <w:color w:val="000000" w:themeColor="text1"/>
          <w:lang w:val="en-US"/>
        </w:rPr>
        <w:t xml:space="preserve">first and for all </w:t>
      </w:r>
      <w:r w:rsidR="002C6C22">
        <w:rPr>
          <w:rFonts w:cstheme="minorHAnsi"/>
          <w:color w:val="000000" w:themeColor="text1"/>
          <w:lang w:val="en-US"/>
        </w:rPr>
        <w:t xml:space="preserve">to the intergenerational </w:t>
      </w:r>
      <w:r w:rsidR="002C6C22">
        <w:rPr>
          <w:rFonts w:cstheme="minorHAnsi"/>
          <w:color w:val="000000" w:themeColor="text1"/>
          <w:lang w:val="en-US"/>
        </w:rPr>
        <w:lastRenderedPageBreak/>
        <w:t xml:space="preserve">relationship within </w:t>
      </w:r>
      <w:r w:rsidR="001F0A76">
        <w:rPr>
          <w:rFonts w:cstheme="minorHAnsi"/>
          <w:color w:val="000000" w:themeColor="text1"/>
          <w:lang w:val="en-US"/>
        </w:rPr>
        <w:t xml:space="preserve">the </w:t>
      </w:r>
      <w:r w:rsidR="002C6C22">
        <w:rPr>
          <w:rFonts w:cstheme="minorHAnsi"/>
          <w:color w:val="000000" w:themeColor="text1"/>
          <w:lang w:val="en-US"/>
        </w:rPr>
        <w:t>family</w:t>
      </w:r>
      <w:r w:rsidR="001F0A76">
        <w:rPr>
          <w:rFonts w:cstheme="minorHAnsi"/>
          <w:color w:val="000000" w:themeColor="text1"/>
          <w:lang w:val="en-US"/>
        </w:rPr>
        <w:t>. ‘A father acts on behalf of his children by working, providing, intervening, struggling, and suffering for them. In doing so, he really stands in their place.’ (DBWE 4:257-8)</w:t>
      </w:r>
      <w:r w:rsidR="001F0A76">
        <w:rPr>
          <w:rStyle w:val="Voetnootmarkering"/>
          <w:rFonts w:cstheme="minorHAnsi"/>
          <w:color w:val="000000" w:themeColor="text1"/>
          <w:lang w:val="en-US"/>
        </w:rPr>
        <w:footnoteReference w:id="20"/>
      </w:r>
      <w:r w:rsidR="00CA6253">
        <w:rPr>
          <w:rFonts w:cstheme="minorHAnsi"/>
          <w:color w:val="000000" w:themeColor="text1"/>
          <w:lang w:val="en-US"/>
        </w:rPr>
        <w:t xml:space="preserve"> </w:t>
      </w:r>
      <w:r w:rsidR="004A3AA5">
        <w:rPr>
          <w:rFonts w:cstheme="minorHAnsi"/>
          <w:color w:val="000000" w:themeColor="text1"/>
          <w:lang w:val="en-US"/>
        </w:rPr>
        <w:t xml:space="preserve">Bonhoeffer’s social ethic has been interpreted as conservative and patriarchal, and the way he defends the </w:t>
      </w:r>
      <w:r w:rsidR="009E3F7C">
        <w:rPr>
          <w:rFonts w:cstheme="minorHAnsi"/>
          <w:color w:val="000000" w:themeColor="text1"/>
          <w:lang w:val="en-US"/>
        </w:rPr>
        <w:t xml:space="preserve">authority </w:t>
      </w:r>
      <w:r w:rsidR="004A3AA5">
        <w:rPr>
          <w:rFonts w:cstheme="minorHAnsi"/>
          <w:color w:val="000000" w:themeColor="text1"/>
          <w:lang w:val="en-US"/>
        </w:rPr>
        <w:t xml:space="preserve">of fatherhood by using the metaphor of above and below gives </w:t>
      </w:r>
      <w:r w:rsidR="003819D9">
        <w:rPr>
          <w:rFonts w:cstheme="minorHAnsi"/>
          <w:color w:val="000000" w:themeColor="text1"/>
          <w:lang w:val="en-US"/>
        </w:rPr>
        <w:t xml:space="preserve">some </w:t>
      </w:r>
      <w:r w:rsidR="004A3AA5">
        <w:rPr>
          <w:rFonts w:cstheme="minorHAnsi"/>
          <w:color w:val="000000" w:themeColor="text1"/>
          <w:lang w:val="en-US"/>
        </w:rPr>
        <w:t>food for that thought</w:t>
      </w:r>
      <w:r w:rsidR="003819D9">
        <w:rPr>
          <w:rFonts w:cstheme="minorHAnsi"/>
          <w:color w:val="000000" w:themeColor="text1"/>
          <w:lang w:val="en-US"/>
        </w:rPr>
        <w:t>.</w:t>
      </w:r>
      <w:r w:rsidR="004A3AA5">
        <w:rPr>
          <w:rStyle w:val="Voetnootmarkering"/>
          <w:rFonts w:cstheme="minorHAnsi"/>
          <w:color w:val="000000" w:themeColor="text1"/>
          <w:lang w:val="en-US"/>
        </w:rPr>
        <w:footnoteReference w:id="21"/>
      </w:r>
      <w:r w:rsidR="003819D9">
        <w:rPr>
          <w:rFonts w:cstheme="minorHAnsi"/>
          <w:color w:val="000000" w:themeColor="text1"/>
          <w:lang w:val="en-US"/>
        </w:rPr>
        <w:t>However,</w:t>
      </w:r>
      <w:r w:rsidR="009050BE">
        <w:rPr>
          <w:rFonts w:cstheme="minorHAnsi"/>
          <w:color w:val="000000" w:themeColor="text1"/>
          <w:lang w:val="en-US"/>
        </w:rPr>
        <w:t xml:space="preserve"> when not read in categories of social space </w:t>
      </w:r>
      <w:r w:rsidR="004D0B07">
        <w:rPr>
          <w:rFonts w:cstheme="minorHAnsi"/>
          <w:color w:val="000000" w:themeColor="text1"/>
          <w:lang w:val="en-US"/>
        </w:rPr>
        <w:t xml:space="preserve">and power </w:t>
      </w:r>
      <w:r w:rsidR="009050BE">
        <w:rPr>
          <w:rFonts w:cstheme="minorHAnsi"/>
          <w:color w:val="000000" w:themeColor="text1"/>
          <w:lang w:val="en-US"/>
        </w:rPr>
        <w:t xml:space="preserve">but within the time perspective of the succession of generations, </w:t>
      </w:r>
      <w:r w:rsidR="009E3F7C">
        <w:rPr>
          <w:rFonts w:cstheme="minorHAnsi"/>
          <w:color w:val="000000" w:themeColor="text1"/>
          <w:lang w:val="en-US"/>
        </w:rPr>
        <w:t xml:space="preserve">the </w:t>
      </w:r>
      <w:r w:rsidR="009050BE">
        <w:rPr>
          <w:rFonts w:cstheme="minorHAnsi"/>
          <w:color w:val="000000" w:themeColor="text1"/>
          <w:lang w:val="en-US"/>
        </w:rPr>
        <w:t xml:space="preserve">vicarious representation </w:t>
      </w:r>
      <w:r w:rsidR="009E3F7C">
        <w:rPr>
          <w:rFonts w:cstheme="minorHAnsi"/>
          <w:color w:val="000000" w:themeColor="text1"/>
          <w:lang w:val="en-US"/>
        </w:rPr>
        <w:t xml:space="preserve">of children by their parents </w:t>
      </w:r>
      <w:r w:rsidR="009050BE">
        <w:rPr>
          <w:rFonts w:cstheme="minorHAnsi"/>
          <w:color w:val="000000" w:themeColor="text1"/>
          <w:lang w:val="en-US"/>
        </w:rPr>
        <w:t>becomes a</w:t>
      </w:r>
      <w:r w:rsidR="003E1DE2">
        <w:rPr>
          <w:rFonts w:cstheme="minorHAnsi"/>
          <w:color w:val="000000" w:themeColor="text1"/>
          <w:lang w:val="en-US"/>
        </w:rPr>
        <w:t xml:space="preserve"> powerful </w:t>
      </w:r>
      <w:r w:rsidR="00202181">
        <w:rPr>
          <w:rFonts w:cstheme="minorHAnsi"/>
          <w:color w:val="000000" w:themeColor="text1"/>
          <w:lang w:val="en-US"/>
        </w:rPr>
        <w:t>generative motive</w:t>
      </w:r>
      <w:r w:rsidR="009050BE">
        <w:rPr>
          <w:rFonts w:cstheme="minorHAnsi"/>
          <w:color w:val="000000" w:themeColor="text1"/>
          <w:lang w:val="en-US"/>
        </w:rPr>
        <w:t xml:space="preserve">, </w:t>
      </w:r>
      <w:r w:rsidR="00202181">
        <w:rPr>
          <w:rFonts w:cstheme="minorHAnsi"/>
          <w:color w:val="000000" w:themeColor="text1"/>
          <w:lang w:val="en-US"/>
        </w:rPr>
        <w:t xml:space="preserve">convincing </w:t>
      </w:r>
      <w:r w:rsidR="009050BE">
        <w:rPr>
          <w:rFonts w:cstheme="minorHAnsi"/>
          <w:color w:val="000000" w:themeColor="text1"/>
          <w:lang w:val="en-US"/>
        </w:rPr>
        <w:t>even for egalitarian minds.</w:t>
      </w:r>
      <w:r w:rsidR="009050BE">
        <w:rPr>
          <w:rStyle w:val="Voetnootmarkering"/>
          <w:rFonts w:cstheme="minorHAnsi"/>
          <w:color w:val="000000" w:themeColor="text1"/>
          <w:lang w:val="en-US"/>
        </w:rPr>
        <w:footnoteReference w:id="22"/>
      </w:r>
      <w:r w:rsidR="00DF0079">
        <w:rPr>
          <w:rFonts w:cstheme="minorHAnsi"/>
          <w:color w:val="000000" w:themeColor="text1"/>
          <w:lang w:val="en-US"/>
        </w:rPr>
        <w:t xml:space="preserve"> </w:t>
      </w:r>
    </w:p>
    <w:p w:rsidR="00723864" w:rsidRPr="007D7081" w:rsidRDefault="00CA6253" w:rsidP="00641C6C">
      <w:pPr>
        <w:rPr>
          <w:rFonts w:cstheme="minorHAnsi"/>
          <w:color w:val="000000" w:themeColor="text1"/>
          <w:lang w:val="en-US"/>
        </w:rPr>
      </w:pPr>
      <w:r>
        <w:rPr>
          <w:rFonts w:cstheme="minorHAnsi"/>
          <w:color w:val="000000" w:themeColor="text1"/>
          <w:lang w:val="en-US"/>
        </w:rPr>
        <w:t xml:space="preserve">The </w:t>
      </w:r>
      <w:r w:rsidR="00DF0079">
        <w:rPr>
          <w:rFonts w:cstheme="minorHAnsi"/>
          <w:color w:val="000000" w:themeColor="text1"/>
          <w:lang w:val="en-US"/>
        </w:rPr>
        <w:t xml:space="preserve">responsibility of those privileged to vicariously represent the less advantaged </w:t>
      </w:r>
      <w:r w:rsidR="004D0B07">
        <w:rPr>
          <w:rFonts w:cstheme="minorHAnsi"/>
          <w:color w:val="000000" w:themeColor="text1"/>
          <w:lang w:val="en-US"/>
        </w:rPr>
        <w:t>had</w:t>
      </w:r>
      <w:r w:rsidR="00DF0079">
        <w:rPr>
          <w:rFonts w:cstheme="minorHAnsi"/>
          <w:color w:val="000000" w:themeColor="text1"/>
          <w:lang w:val="en-US"/>
        </w:rPr>
        <w:t xml:space="preserve"> already strongly </w:t>
      </w:r>
      <w:r w:rsidR="004D0B07">
        <w:rPr>
          <w:rFonts w:cstheme="minorHAnsi"/>
          <w:color w:val="000000" w:themeColor="text1"/>
          <w:lang w:val="en-US"/>
        </w:rPr>
        <w:t xml:space="preserve">been </w:t>
      </w:r>
      <w:r w:rsidR="00DF0079">
        <w:rPr>
          <w:rFonts w:cstheme="minorHAnsi"/>
          <w:color w:val="000000" w:themeColor="text1"/>
          <w:lang w:val="en-US"/>
        </w:rPr>
        <w:t xml:space="preserve">advocated </w:t>
      </w:r>
      <w:r w:rsidR="003E1DE2">
        <w:rPr>
          <w:rFonts w:cstheme="minorHAnsi"/>
          <w:color w:val="000000" w:themeColor="text1"/>
          <w:lang w:val="en-US"/>
        </w:rPr>
        <w:t xml:space="preserve">within the context of the church </w:t>
      </w:r>
      <w:r w:rsidR="00DF0079">
        <w:rPr>
          <w:rFonts w:cstheme="minorHAnsi"/>
          <w:color w:val="000000" w:themeColor="text1"/>
          <w:lang w:val="en-US"/>
        </w:rPr>
        <w:t xml:space="preserve">in Bonhoeffer’s dissertation </w:t>
      </w:r>
      <w:r w:rsidR="00723864" w:rsidRPr="00202181">
        <w:rPr>
          <w:rFonts w:cstheme="minorHAnsi"/>
          <w:i/>
          <w:iCs/>
          <w:color w:val="000000" w:themeColor="text1"/>
          <w:lang w:val="en-US"/>
        </w:rPr>
        <w:t>Sanctorum Communio</w:t>
      </w:r>
      <w:r w:rsidR="00197264">
        <w:rPr>
          <w:rFonts w:cstheme="minorHAnsi"/>
          <w:color w:val="000000" w:themeColor="text1"/>
          <w:lang w:val="en-US"/>
        </w:rPr>
        <w:t>. H</w:t>
      </w:r>
      <w:r w:rsidR="007D7081">
        <w:rPr>
          <w:rFonts w:cstheme="minorHAnsi"/>
          <w:color w:val="000000" w:themeColor="text1"/>
          <w:lang w:val="en-US"/>
        </w:rPr>
        <w:t xml:space="preserve">e describes being there for the other as </w:t>
      </w:r>
      <w:r w:rsidR="007D7081" w:rsidRPr="007D7081">
        <w:rPr>
          <w:rFonts w:cstheme="minorHAnsi"/>
          <w:color w:val="000000" w:themeColor="text1"/>
          <w:lang w:val="en-US"/>
        </w:rPr>
        <w:t>‘the readiness to do and bear everything in the neighbor's place, indeed, if necessary, to sacrifice myself, standing as a </w:t>
      </w:r>
      <w:r w:rsidR="007D7081" w:rsidRPr="007D7081">
        <w:rPr>
          <w:rFonts w:cstheme="minorHAnsi"/>
          <w:i/>
          <w:iCs/>
          <w:color w:val="000000" w:themeColor="text1"/>
          <w:lang w:val="en-US"/>
        </w:rPr>
        <w:t>substitute</w:t>
      </w:r>
      <w:r w:rsidR="007D7081" w:rsidRPr="007D7081">
        <w:rPr>
          <w:rFonts w:cstheme="minorHAnsi"/>
          <w:color w:val="000000" w:themeColor="text1"/>
          <w:lang w:val="en-US"/>
        </w:rPr>
        <w:t> for my neighbo</w:t>
      </w:r>
      <w:r w:rsidR="00197264">
        <w:rPr>
          <w:rFonts w:cstheme="minorHAnsi"/>
          <w:color w:val="000000" w:themeColor="text1"/>
          <w:lang w:val="en-US"/>
        </w:rPr>
        <w:t>r.’ Here too, responsibility is phrased in terms of giving op privileges: ‘</w:t>
      </w:r>
      <w:r w:rsidR="007D7081" w:rsidRPr="007D7081">
        <w:rPr>
          <w:rFonts w:cstheme="minorHAnsi"/>
          <w:color w:val="000000" w:themeColor="text1"/>
          <w:lang w:val="en-US"/>
        </w:rPr>
        <w:t xml:space="preserve">It is apparent that in self-renouncing work for the neighbor I give up happiness. We are called to advocate vicariously for the other in everyday matters, to give up possessions, honor, even our whole lives. … The 'strong' do not have their abilities for themselves, in order to consider themselves superior to the church-community; they have them 'for the common good' (1 Cor. 12:7).’ </w:t>
      </w:r>
      <w:r w:rsidR="0037270D" w:rsidRPr="007D7081">
        <w:rPr>
          <w:rFonts w:cstheme="minorHAnsi"/>
          <w:color w:val="000000" w:themeColor="text1"/>
          <w:lang w:val="en-US"/>
        </w:rPr>
        <w:t>DBWE 1, 18</w:t>
      </w:r>
      <w:r w:rsidR="007D7081" w:rsidRPr="007D7081">
        <w:rPr>
          <w:rFonts w:cstheme="minorHAnsi"/>
          <w:color w:val="000000" w:themeColor="text1"/>
          <w:lang w:val="en-US"/>
        </w:rPr>
        <w:t>4</w:t>
      </w:r>
      <w:r w:rsidR="001B3961" w:rsidRPr="007D7081">
        <w:rPr>
          <w:rFonts w:cstheme="minorHAnsi"/>
          <w:color w:val="000000" w:themeColor="text1"/>
          <w:lang w:val="en-US"/>
        </w:rPr>
        <w:t>)</w:t>
      </w:r>
      <w:r w:rsidR="001B3961" w:rsidRPr="001B3961">
        <w:rPr>
          <w:rFonts w:cstheme="minorHAnsi"/>
          <w:color w:val="000000" w:themeColor="text1"/>
          <w:lang w:val="en-US"/>
        </w:rPr>
        <w:t xml:space="preserve"> </w:t>
      </w:r>
      <w:r w:rsidR="004D0B07">
        <w:rPr>
          <w:rFonts w:cstheme="minorHAnsi"/>
          <w:color w:val="000000" w:themeColor="text1"/>
          <w:lang w:val="en-US"/>
        </w:rPr>
        <w:t>Communal life within the church</w:t>
      </w:r>
      <w:r w:rsidR="00197264">
        <w:rPr>
          <w:rFonts w:cstheme="minorHAnsi"/>
          <w:color w:val="000000" w:themeColor="text1"/>
          <w:lang w:val="en-US"/>
        </w:rPr>
        <w:t xml:space="preserve">, according to Bonhoeffer, </w:t>
      </w:r>
      <w:r w:rsidR="004D0B07">
        <w:rPr>
          <w:rFonts w:cstheme="minorHAnsi"/>
          <w:color w:val="000000" w:themeColor="text1"/>
          <w:lang w:val="en-US"/>
        </w:rPr>
        <w:t>implies not only living with-each-other [</w:t>
      </w:r>
      <w:proofErr w:type="spellStart"/>
      <w:r w:rsidR="004D0B07" w:rsidRPr="00D92FA3">
        <w:rPr>
          <w:rFonts w:cstheme="minorHAnsi"/>
          <w:i/>
          <w:iCs/>
          <w:color w:val="000000" w:themeColor="text1"/>
          <w:lang w:val="en-US"/>
        </w:rPr>
        <w:t>miteinander</w:t>
      </w:r>
      <w:proofErr w:type="spellEnd"/>
      <w:r w:rsidR="004D0B07">
        <w:rPr>
          <w:rFonts w:cstheme="minorHAnsi"/>
          <w:color w:val="000000" w:themeColor="text1"/>
          <w:lang w:val="en-US"/>
        </w:rPr>
        <w:t>] and being-for-each-other [</w:t>
      </w:r>
      <w:proofErr w:type="spellStart"/>
      <w:r w:rsidR="004D0B07" w:rsidRPr="0037270D">
        <w:rPr>
          <w:rFonts w:cstheme="minorHAnsi"/>
          <w:i/>
          <w:iCs/>
          <w:color w:val="000000" w:themeColor="text1"/>
          <w:lang w:val="en-US"/>
        </w:rPr>
        <w:t>f</w:t>
      </w:r>
      <w:r w:rsidR="00D92FA3" w:rsidRPr="00D92FA3">
        <w:rPr>
          <w:rFonts w:cstheme="minorHAnsi"/>
          <w:i/>
          <w:iCs/>
          <w:color w:val="000000" w:themeColor="text1"/>
          <w:lang w:val="en-US"/>
        </w:rPr>
        <w:t>ü</w:t>
      </w:r>
      <w:r w:rsidR="004D0B07" w:rsidRPr="00D92FA3">
        <w:rPr>
          <w:rFonts w:cstheme="minorHAnsi"/>
          <w:i/>
          <w:iCs/>
          <w:color w:val="000000" w:themeColor="text1"/>
          <w:lang w:val="en-US"/>
        </w:rPr>
        <w:t>reinander</w:t>
      </w:r>
      <w:proofErr w:type="spellEnd"/>
      <w:r w:rsidR="004D0B07">
        <w:rPr>
          <w:rFonts w:cstheme="minorHAnsi"/>
          <w:color w:val="000000" w:themeColor="text1"/>
          <w:lang w:val="en-US"/>
        </w:rPr>
        <w:t>], but also vicarious representative action [</w:t>
      </w:r>
      <w:proofErr w:type="spellStart"/>
      <w:r w:rsidR="004D0B07" w:rsidRPr="00D92FA3">
        <w:rPr>
          <w:rFonts w:cstheme="minorHAnsi"/>
          <w:i/>
          <w:iCs/>
          <w:color w:val="000000" w:themeColor="text1"/>
          <w:lang w:val="en-US"/>
        </w:rPr>
        <w:t>Stellvertretung</w:t>
      </w:r>
      <w:proofErr w:type="spellEnd"/>
      <w:r w:rsidR="004D0B07">
        <w:rPr>
          <w:rFonts w:cstheme="minorHAnsi"/>
          <w:color w:val="000000" w:themeColor="text1"/>
          <w:lang w:val="en-US"/>
        </w:rPr>
        <w:t xml:space="preserve">]. </w:t>
      </w:r>
      <w:r w:rsidR="003E1DE2">
        <w:rPr>
          <w:rFonts w:cstheme="minorHAnsi"/>
          <w:color w:val="000000" w:themeColor="text1"/>
          <w:lang w:val="en-US"/>
        </w:rPr>
        <w:t xml:space="preserve">Certainly, Bonhoeffer is writing about the church here, but it </w:t>
      </w:r>
      <w:r w:rsidR="00685F4E">
        <w:rPr>
          <w:rFonts w:cstheme="minorHAnsi"/>
          <w:color w:val="000000" w:themeColor="text1"/>
          <w:lang w:val="en-US"/>
        </w:rPr>
        <w:t>can be argued that</w:t>
      </w:r>
      <w:r w:rsidR="003E1DE2">
        <w:rPr>
          <w:rFonts w:cstheme="minorHAnsi"/>
          <w:color w:val="000000" w:themeColor="text1"/>
          <w:lang w:val="en-US"/>
        </w:rPr>
        <w:t xml:space="preserve"> he</w:t>
      </w:r>
      <w:r w:rsidR="00197264">
        <w:rPr>
          <w:rFonts w:cstheme="minorHAnsi"/>
          <w:color w:val="000000" w:themeColor="text1"/>
          <w:lang w:val="en-US"/>
        </w:rPr>
        <w:t xml:space="preserve">, at that time a </w:t>
      </w:r>
      <w:r w:rsidR="00A9654D">
        <w:rPr>
          <w:rFonts w:cstheme="minorHAnsi"/>
          <w:color w:val="000000" w:themeColor="text1"/>
          <w:lang w:val="en-US"/>
        </w:rPr>
        <w:t>20-year-old</w:t>
      </w:r>
      <w:r w:rsidR="00197264">
        <w:rPr>
          <w:rFonts w:cstheme="minorHAnsi"/>
          <w:color w:val="000000" w:themeColor="text1"/>
          <w:lang w:val="en-US"/>
        </w:rPr>
        <w:t xml:space="preserve"> adolescent writing his PhD</w:t>
      </w:r>
      <w:r w:rsidR="003E1DE2">
        <w:rPr>
          <w:rFonts w:cstheme="minorHAnsi"/>
          <w:color w:val="000000" w:themeColor="text1"/>
          <w:lang w:val="en-US"/>
        </w:rPr>
        <w:t>,</w:t>
      </w:r>
      <w:r w:rsidR="00A9654D">
        <w:rPr>
          <w:rFonts w:cstheme="minorHAnsi"/>
          <w:color w:val="000000" w:themeColor="text1"/>
          <w:lang w:val="en-US"/>
        </w:rPr>
        <w:t xml:space="preserve"> and</w:t>
      </w:r>
      <w:r w:rsidR="003E1DE2">
        <w:rPr>
          <w:rFonts w:cstheme="minorHAnsi"/>
          <w:color w:val="000000" w:themeColor="text1"/>
          <w:lang w:val="en-US"/>
        </w:rPr>
        <w:t xml:space="preserve"> without much ecclesial experience,</w:t>
      </w:r>
      <w:r w:rsidR="00197264">
        <w:rPr>
          <w:rFonts w:cstheme="minorHAnsi"/>
          <w:color w:val="000000" w:themeColor="text1"/>
          <w:lang w:val="en-US"/>
        </w:rPr>
        <w:t xml:space="preserve"> </w:t>
      </w:r>
      <w:r w:rsidR="00685F4E">
        <w:rPr>
          <w:rFonts w:cstheme="minorHAnsi"/>
          <w:color w:val="000000" w:themeColor="text1"/>
          <w:lang w:val="en-US"/>
        </w:rPr>
        <w:t xml:space="preserve">could not have written these lines without </w:t>
      </w:r>
      <w:r w:rsidR="0037270D">
        <w:rPr>
          <w:rFonts w:cstheme="minorHAnsi"/>
          <w:color w:val="000000" w:themeColor="text1"/>
          <w:lang w:val="en-US"/>
        </w:rPr>
        <w:t xml:space="preserve">the strong awareness of privileged responsibility maintained within </w:t>
      </w:r>
      <w:r w:rsidR="00685F4E">
        <w:rPr>
          <w:rFonts w:cstheme="minorHAnsi"/>
          <w:color w:val="000000" w:themeColor="text1"/>
          <w:lang w:val="en-US"/>
        </w:rPr>
        <w:t>his own family</w:t>
      </w:r>
      <w:r w:rsidR="00D92FA3">
        <w:rPr>
          <w:rFonts w:cstheme="minorHAnsi"/>
          <w:color w:val="000000" w:themeColor="text1"/>
          <w:lang w:val="en-US"/>
        </w:rPr>
        <w:t>.</w:t>
      </w:r>
      <w:r w:rsidR="00685F4E">
        <w:rPr>
          <w:rStyle w:val="Voetnootmarkering"/>
          <w:rFonts w:cstheme="minorHAnsi"/>
          <w:color w:val="000000" w:themeColor="text1"/>
          <w:lang w:val="en-US"/>
        </w:rPr>
        <w:footnoteReference w:id="23"/>
      </w:r>
      <w:r w:rsidR="00685F4E">
        <w:rPr>
          <w:rFonts w:cstheme="minorHAnsi"/>
          <w:color w:val="000000" w:themeColor="text1"/>
          <w:lang w:val="en-US"/>
        </w:rPr>
        <w:t xml:space="preserve"> </w:t>
      </w:r>
    </w:p>
    <w:p w:rsidR="00F53C96" w:rsidRPr="0037270D" w:rsidRDefault="00F53C96" w:rsidP="00F53C96">
      <w:pPr>
        <w:autoSpaceDE w:val="0"/>
        <w:autoSpaceDN w:val="0"/>
        <w:adjustRightInd w:val="0"/>
        <w:rPr>
          <w:rFonts w:cstheme="minorHAnsi"/>
          <w:lang w:val="de-DE"/>
        </w:rPr>
      </w:pPr>
    </w:p>
    <w:p w:rsidR="00F53C96" w:rsidRPr="00F53C96" w:rsidRDefault="00F53C96" w:rsidP="00F53C96">
      <w:pPr>
        <w:pStyle w:val="Lijstalinea"/>
        <w:numPr>
          <w:ilvl w:val="0"/>
          <w:numId w:val="2"/>
        </w:numPr>
        <w:autoSpaceDE w:val="0"/>
        <w:autoSpaceDN w:val="0"/>
        <w:adjustRightInd w:val="0"/>
        <w:rPr>
          <w:rFonts w:cstheme="minorHAnsi"/>
          <w:i/>
          <w:iCs/>
          <w:lang w:val="en-US"/>
        </w:rPr>
      </w:pPr>
      <w:r w:rsidRPr="00F53C96">
        <w:rPr>
          <w:rFonts w:cstheme="minorHAnsi"/>
          <w:i/>
          <w:iCs/>
          <w:lang w:val="en-US"/>
        </w:rPr>
        <w:t xml:space="preserve">In conclusion </w:t>
      </w:r>
    </w:p>
    <w:p w:rsidR="00F53C96" w:rsidRPr="00F53C96" w:rsidRDefault="00F53C96" w:rsidP="00F53C96">
      <w:pPr>
        <w:autoSpaceDE w:val="0"/>
        <w:autoSpaceDN w:val="0"/>
        <w:adjustRightInd w:val="0"/>
        <w:rPr>
          <w:rFonts w:cstheme="minorHAnsi"/>
          <w:i/>
          <w:iCs/>
          <w:lang w:val="en-US"/>
        </w:rPr>
      </w:pPr>
    </w:p>
    <w:p w:rsidR="00F53C96" w:rsidRPr="00F53C96" w:rsidRDefault="00F53C96" w:rsidP="00F53C96">
      <w:pPr>
        <w:rPr>
          <w:rFonts w:cstheme="minorHAnsi"/>
          <w:lang w:val="en-US"/>
        </w:rPr>
      </w:pPr>
      <w:r w:rsidRPr="00F53C96">
        <w:rPr>
          <w:rFonts w:cstheme="minorHAnsi"/>
          <w:lang w:val="en-US"/>
        </w:rPr>
        <w:lastRenderedPageBreak/>
        <w:t xml:space="preserve">In this paper I have argued that generativity understood as the </w:t>
      </w:r>
      <w:r w:rsidR="00BA6353">
        <w:rPr>
          <w:rFonts w:cstheme="minorHAnsi"/>
          <w:lang w:val="en-US"/>
        </w:rPr>
        <w:t>‘</w:t>
      </w:r>
      <w:r w:rsidRPr="00F53C96">
        <w:rPr>
          <w:rFonts w:eastAsia="Times New Roman" w:cstheme="minorHAnsi"/>
          <w:color w:val="000000"/>
          <w:shd w:val="clear" w:color="auto" w:fill="FFFFFF"/>
          <w:lang w:val="en-US" w:eastAsia="nl-NL"/>
        </w:rPr>
        <w:t>desire to invest one’s substance in forms of life and work that will outlive the self</w:t>
      </w:r>
      <w:r w:rsidR="00BA6353">
        <w:rPr>
          <w:rFonts w:eastAsia="Times New Roman" w:cstheme="minorHAnsi"/>
          <w:color w:val="000000"/>
          <w:shd w:val="clear" w:color="auto" w:fill="FFFFFF"/>
          <w:lang w:val="en-US" w:eastAsia="nl-NL"/>
        </w:rPr>
        <w:t>’</w:t>
      </w:r>
      <w:r w:rsidRPr="00F53C96">
        <w:rPr>
          <w:rFonts w:eastAsia="Times New Roman" w:cstheme="minorHAnsi"/>
          <w:color w:val="000000"/>
          <w:shd w:val="clear" w:color="auto" w:fill="FFFFFF"/>
          <w:lang w:val="en-US" w:eastAsia="nl-NL"/>
        </w:rPr>
        <w:t xml:space="preserve"> </w:t>
      </w:r>
      <w:r w:rsidR="00D307E4">
        <w:rPr>
          <w:rFonts w:eastAsia="Times New Roman" w:cstheme="minorHAnsi"/>
          <w:color w:val="000000"/>
          <w:shd w:val="clear" w:color="auto" w:fill="FFFFFF"/>
          <w:lang w:val="en-US" w:eastAsia="nl-NL"/>
        </w:rPr>
        <w:t>(</w:t>
      </w:r>
      <w:proofErr w:type="spellStart"/>
      <w:r w:rsidR="00D307E4">
        <w:rPr>
          <w:rFonts w:eastAsia="Times New Roman" w:cstheme="minorHAnsi"/>
          <w:color w:val="000000"/>
          <w:shd w:val="clear" w:color="auto" w:fill="FFFFFF"/>
          <w:lang w:val="en-US" w:eastAsia="nl-NL"/>
        </w:rPr>
        <w:t>Kotre</w:t>
      </w:r>
      <w:proofErr w:type="spellEnd"/>
      <w:r w:rsidR="00D307E4">
        <w:rPr>
          <w:rFonts w:eastAsia="Times New Roman" w:cstheme="minorHAnsi"/>
          <w:color w:val="000000"/>
          <w:shd w:val="clear" w:color="auto" w:fill="FFFFFF"/>
          <w:lang w:val="en-US" w:eastAsia="nl-NL"/>
        </w:rPr>
        <w:t xml:space="preserve">) </w:t>
      </w:r>
      <w:r w:rsidRPr="00F53C96">
        <w:rPr>
          <w:rFonts w:eastAsia="Times New Roman" w:cstheme="minorHAnsi"/>
          <w:color w:val="000000"/>
          <w:shd w:val="clear" w:color="auto" w:fill="FFFFFF"/>
          <w:lang w:val="en-US" w:eastAsia="nl-NL"/>
        </w:rPr>
        <w:t xml:space="preserve">is a </w:t>
      </w:r>
      <w:r w:rsidRPr="00F53C96">
        <w:rPr>
          <w:rFonts w:cstheme="minorHAnsi"/>
          <w:lang w:val="en-US"/>
        </w:rPr>
        <w:t>helpful concept to understand Bonhoeffer’s concern for the coming generation, as ardently expressed in his prison letters.</w:t>
      </w:r>
    </w:p>
    <w:p w:rsidR="00F53C96" w:rsidRPr="00F53C96" w:rsidRDefault="00F53C96" w:rsidP="00F53C96">
      <w:pPr>
        <w:rPr>
          <w:rFonts w:cstheme="minorHAnsi"/>
          <w:lang w:val="en-US"/>
        </w:rPr>
      </w:pPr>
      <w:r w:rsidRPr="00F53C96">
        <w:rPr>
          <w:rFonts w:cstheme="minorHAnsi"/>
          <w:lang w:val="en-US"/>
        </w:rPr>
        <w:t xml:space="preserve">Though generativity is a more or less a common feature in the life course of elderly adults, Bonhoeffer unmistakably has been a highly generative person throughout his relatively short life. From his early years onwards, he has been aware of the fact that generations are </w:t>
      </w:r>
      <w:r w:rsidR="00BA6353">
        <w:rPr>
          <w:rFonts w:cstheme="minorHAnsi"/>
          <w:lang w:val="en-US"/>
        </w:rPr>
        <w:t>‘</w:t>
      </w:r>
      <w:r w:rsidRPr="00F53C96">
        <w:rPr>
          <w:rFonts w:cstheme="minorHAnsi"/>
          <w:lang w:val="en-US"/>
        </w:rPr>
        <w:t>merely one link in the chain</w:t>
      </w:r>
      <w:r w:rsidR="00BA6353">
        <w:rPr>
          <w:rFonts w:cstheme="minorHAnsi"/>
          <w:lang w:val="en-US"/>
        </w:rPr>
        <w:t>’</w:t>
      </w:r>
      <w:r w:rsidRPr="00F53C96">
        <w:rPr>
          <w:rFonts w:cstheme="minorHAnsi"/>
          <w:lang w:val="en-US"/>
        </w:rPr>
        <w:t xml:space="preserve"> and that intergenerational relationships are marked by the wounds of history. </w:t>
      </w:r>
    </w:p>
    <w:p w:rsidR="00F53C96" w:rsidRPr="00F53C96" w:rsidRDefault="00F53C96" w:rsidP="00F53C96">
      <w:pPr>
        <w:rPr>
          <w:rFonts w:cstheme="minorHAnsi"/>
          <w:lang w:val="en-US"/>
        </w:rPr>
      </w:pPr>
      <w:r w:rsidRPr="00F53C96">
        <w:rPr>
          <w:rFonts w:cstheme="minorHAnsi"/>
          <w:lang w:val="en-US"/>
        </w:rPr>
        <w:t xml:space="preserve">Bonhoeffer’s fragmentary life reviews in prison appear to be dominated by what scholars call a ‘generativity script’, typical for highly generative late adults. In this respect, Bonhoeffer was far from unique. Privilege, sacrifice, optimism – with these central themes, Bonhoeffer’s generativity script belongs to a common narrative genre. </w:t>
      </w:r>
    </w:p>
    <w:p w:rsidR="00F53C96" w:rsidRPr="00F53C96" w:rsidRDefault="00F53C96" w:rsidP="00F53C96">
      <w:pPr>
        <w:rPr>
          <w:rFonts w:eastAsia="Times New Roman" w:cstheme="minorHAnsi"/>
          <w:color w:val="000000" w:themeColor="text1"/>
          <w:shd w:val="clear" w:color="auto" w:fill="FFFFFF"/>
          <w:lang w:val="en-US" w:eastAsia="nl-NL"/>
        </w:rPr>
      </w:pPr>
      <w:bookmarkStart w:id="0" w:name="_GoBack"/>
      <w:bookmarkEnd w:id="0"/>
      <w:r w:rsidRPr="00F53C96">
        <w:rPr>
          <w:rFonts w:cstheme="minorHAnsi"/>
          <w:lang w:val="en-US"/>
        </w:rPr>
        <w:t xml:space="preserve">What makes him </w:t>
      </w:r>
      <w:r w:rsidR="0037270D">
        <w:rPr>
          <w:rFonts w:cstheme="minorHAnsi"/>
          <w:lang w:val="en-US"/>
        </w:rPr>
        <w:t xml:space="preserve">extraordinary, </w:t>
      </w:r>
      <w:r w:rsidRPr="00F53C96">
        <w:rPr>
          <w:rFonts w:cstheme="minorHAnsi"/>
          <w:lang w:val="en-US"/>
        </w:rPr>
        <w:t>however, is how he stresses the ethical dimension in generativity</w:t>
      </w:r>
      <w:r w:rsidR="00866DA7">
        <w:rPr>
          <w:rFonts w:cstheme="minorHAnsi"/>
          <w:lang w:val="en-US"/>
        </w:rPr>
        <w:t xml:space="preserve">. </w:t>
      </w:r>
      <w:r w:rsidRPr="00F53C96">
        <w:rPr>
          <w:rFonts w:cstheme="minorHAnsi"/>
          <w:lang w:val="en-US"/>
        </w:rPr>
        <w:t>Embodying</w:t>
      </w:r>
      <w:r w:rsidRPr="00F53C96">
        <w:rPr>
          <w:rFonts w:eastAsia="Times New Roman" w:cstheme="minorHAnsi"/>
          <w:color w:val="000000" w:themeColor="text1"/>
          <w:shd w:val="clear" w:color="auto" w:fill="FFFFFF"/>
          <w:lang w:val="en-US" w:eastAsia="nl-NL"/>
        </w:rPr>
        <w:t xml:space="preserve"> generativity is in Bonhoeffer’s view not just a sign of individual psychological health, or a more or less expectable or admirable stage in the individual life course, but first of all a moral </w:t>
      </w:r>
      <w:r w:rsidR="00866DA7">
        <w:rPr>
          <w:rFonts w:eastAsia="Times New Roman" w:cstheme="minorHAnsi"/>
          <w:color w:val="000000" w:themeColor="text1"/>
          <w:shd w:val="clear" w:color="auto" w:fill="FFFFFF"/>
          <w:lang w:val="en-US" w:eastAsia="nl-NL"/>
        </w:rPr>
        <w:t xml:space="preserve">obligation </w:t>
      </w:r>
      <w:r w:rsidRPr="00F53C96">
        <w:rPr>
          <w:rFonts w:eastAsia="Times New Roman" w:cstheme="minorHAnsi"/>
          <w:color w:val="000000" w:themeColor="text1"/>
          <w:shd w:val="clear" w:color="auto" w:fill="FFFFFF"/>
          <w:lang w:val="en-US" w:eastAsia="nl-NL"/>
        </w:rPr>
        <w:t xml:space="preserve">and </w:t>
      </w:r>
      <w:r w:rsidR="00866DA7">
        <w:rPr>
          <w:rFonts w:eastAsia="Times New Roman" w:cstheme="minorHAnsi"/>
          <w:color w:val="000000" w:themeColor="text1"/>
          <w:shd w:val="clear" w:color="auto" w:fill="FFFFFF"/>
          <w:lang w:val="en-US" w:eastAsia="nl-NL"/>
        </w:rPr>
        <w:t xml:space="preserve">a </w:t>
      </w:r>
      <w:r w:rsidRPr="00F53C96">
        <w:rPr>
          <w:rFonts w:eastAsia="Times New Roman" w:cstheme="minorHAnsi"/>
          <w:color w:val="000000" w:themeColor="text1"/>
          <w:shd w:val="clear" w:color="auto" w:fill="FFFFFF"/>
          <w:lang w:val="en-US" w:eastAsia="nl-NL"/>
        </w:rPr>
        <w:t xml:space="preserve">political virtue of generations. </w:t>
      </w:r>
    </w:p>
    <w:p w:rsidR="00F53C96" w:rsidRPr="00F53C96" w:rsidRDefault="00F53C96" w:rsidP="00F53C96">
      <w:pPr>
        <w:autoSpaceDE w:val="0"/>
        <w:autoSpaceDN w:val="0"/>
        <w:adjustRightInd w:val="0"/>
        <w:rPr>
          <w:rFonts w:cstheme="minorHAnsi"/>
          <w:i/>
          <w:iCs/>
          <w:color w:val="000000" w:themeColor="text1"/>
          <w:lang w:val="en-US"/>
        </w:rPr>
      </w:pPr>
    </w:p>
    <w:p w:rsidR="00F53C96" w:rsidRPr="00F53C96" w:rsidRDefault="00F53C96" w:rsidP="003819D9">
      <w:pPr>
        <w:autoSpaceDE w:val="0"/>
        <w:autoSpaceDN w:val="0"/>
        <w:adjustRightInd w:val="0"/>
        <w:jc w:val="center"/>
        <w:rPr>
          <w:rFonts w:cstheme="minorHAnsi"/>
          <w:i/>
          <w:iCs/>
          <w:color w:val="000000" w:themeColor="text1"/>
          <w:lang w:val="en-US"/>
        </w:rPr>
      </w:pPr>
      <w:r w:rsidRPr="00F53C96">
        <w:rPr>
          <w:rFonts w:cstheme="minorHAnsi"/>
          <w:i/>
          <w:iCs/>
          <w:color w:val="000000" w:themeColor="text1"/>
          <w:lang w:val="en-US"/>
        </w:rPr>
        <w:t>-0-</w:t>
      </w:r>
    </w:p>
    <w:p w:rsidR="00F53C96" w:rsidRDefault="00F53C96" w:rsidP="00F53C96">
      <w:pPr>
        <w:autoSpaceDE w:val="0"/>
        <w:autoSpaceDN w:val="0"/>
        <w:adjustRightInd w:val="0"/>
        <w:rPr>
          <w:rFonts w:cstheme="minorHAnsi"/>
          <w:i/>
          <w:iCs/>
          <w:color w:val="000000" w:themeColor="text1"/>
          <w:lang w:val="en-US"/>
        </w:rPr>
      </w:pPr>
      <w:r w:rsidRPr="0028493C">
        <w:rPr>
          <w:rFonts w:cstheme="minorHAnsi"/>
          <w:i/>
          <w:iCs/>
          <w:color w:val="000000" w:themeColor="text1"/>
          <w:lang w:val="en-US"/>
        </w:rPr>
        <w:t>Literature</w:t>
      </w:r>
      <w:r w:rsidRPr="00F53C96">
        <w:rPr>
          <w:rFonts w:cstheme="minorHAnsi"/>
          <w:i/>
          <w:iCs/>
          <w:color w:val="000000" w:themeColor="text1"/>
          <w:lang w:val="en-US"/>
        </w:rPr>
        <w:t xml:space="preserve"> </w:t>
      </w:r>
    </w:p>
    <w:p w:rsidR="0028493C" w:rsidRDefault="0028493C" w:rsidP="00F53C96">
      <w:pPr>
        <w:autoSpaceDE w:val="0"/>
        <w:autoSpaceDN w:val="0"/>
        <w:adjustRightInd w:val="0"/>
        <w:rPr>
          <w:rFonts w:cstheme="minorHAnsi"/>
          <w:i/>
          <w:iCs/>
          <w:color w:val="000000" w:themeColor="text1"/>
          <w:lang w:val="en-US"/>
        </w:rPr>
      </w:pPr>
    </w:p>
    <w:p w:rsidR="0028493C" w:rsidRPr="0028493C" w:rsidRDefault="0028493C" w:rsidP="0028493C">
      <w:pPr>
        <w:rPr>
          <w:rFonts w:eastAsia="Times New Roman" w:cstheme="minorHAnsi"/>
          <w:lang w:val="en-US" w:eastAsia="nl-NL"/>
        </w:rPr>
      </w:pPr>
      <w:r w:rsidRPr="0028493C">
        <w:rPr>
          <w:rFonts w:cstheme="minorHAnsi"/>
          <w:i/>
          <w:iCs/>
          <w:color w:val="000000" w:themeColor="text1"/>
          <w:lang w:val="en-US"/>
        </w:rPr>
        <w:t xml:space="preserve">Karl Barth, Church </w:t>
      </w:r>
      <w:proofErr w:type="spellStart"/>
      <w:r w:rsidRPr="0028493C">
        <w:rPr>
          <w:rFonts w:cstheme="minorHAnsi"/>
          <w:i/>
          <w:iCs/>
          <w:color w:val="000000" w:themeColor="text1"/>
          <w:lang w:val="en-US"/>
        </w:rPr>
        <w:t>Dogmatics</w:t>
      </w:r>
      <w:proofErr w:type="spellEnd"/>
      <w:r w:rsidRPr="0028493C">
        <w:rPr>
          <w:rFonts w:cstheme="minorHAnsi"/>
          <w:color w:val="000000" w:themeColor="text1"/>
          <w:lang w:val="en-US"/>
        </w:rPr>
        <w:t xml:space="preserve">, III,4. </w:t>
      </w:r>
      <w:r w:rsidRPr="0028493C">
        <w:rPr>
          <w:rFonts w:eastAsia="Times New Roman" w:cstheme="minorHAnsi"/>
          <w:color w:val="3C4043"/>
          <w:shd w:val="clear" w:color="auto" w:fill="FFFFFF"/>
          <w:lang w:val="en-US" w:eastAsia="nl-NL"/>
        </w:rPr>
        <w:t>Edinburgh: T. &amp; T. Clark, 1961.</w:t>
      </w:r>
    </w:p>
    <w:p w:rsidR="00F53C96" w:rsidRPr="0028493C" w:rsidRDefault="0028493C" w:rsidP="00F53C96">
      <w:pPr>
        <w:rPr>
          <w:rFonts w:cstheme="minorHAnsi"/>
          <w:lang w:val="en-US"/>
        </w:rPr>
      </w:pPr>
      <w:r w:rsidRPr="0028493C">
        <w:rPr>
          <w:rFonts w:cstheme="minorHAnsi"/>
          <w:lang w:val="en-US"/>
        </w:rPr>
        <w:t xml:space="preserve">Robert Bly, </w:t>
      </w:r>
      <w:r w:rsidRPr="0028493C">
        <w:rPr>
          <w:rFonts w:cstheme="minorHAnsi"/>
          <w:i/>
          <w:iCs/>
          <w:lang w:val="en-US"/>
        </w:rPr>
        <w:t>The Sibling Society</w:t>
      </w:r>
      <w:r w:rsidRPr="0028493C">
        <w:rPr>
          <w:rFonts w:cstheme="minorHAnsi"/>
          <w:lang w:val="en-US"/>
        </w:rPr>
        <w:t>. New York: Vintage Books 1996.</w:t>
      </w:r>
    </w:p>
    <w:p w:rsidR="00F53C96" w:rsidRPr="0028493C" w:rsidRDefault="00F53C96" w:rsidP="00F53C96">
      <w:pPr>
        <w:rPr>
          <w:rFonts w:cstheme="minorHAnsi"/>
          <w:lang w:val="en-US"/>
        </w:rPr>
      </w:pPr>
      <w:r w:rsidRPr="0028493C">
        <w:rPr>
          <w:rFonts w:cstheme="minorHAnsi"/>
          <w:lang w:val="en-US"/>
        </w:rPr>
        <w:t>Erikson, E</w:t>
      </w:r>
      <w:r w:rsidR="00D307E4" w:rsidRPr="0028493C">
        <w:rPr>
          <w:rFonts w:cstheme="minorHAnsi"/>
          <w:lang w:val="en-US"/>
        </w:rPr>
        <w:t xml:space="preserve">rik </w:t>
      </w:r>
      <w:r w:rsidRPr="0028493C">
        <w:rPr>
          <w:rFonts w:cstheme="minorHAnsi"/>
          <w:lang w:val="en-US"/>
        </w:rPr>
        <w:t xml:space="preserve">H. </w:t>
      </w:r>
      <w:r w:rsidRPr="0028493C">
        <w:rPr>
          <w:rFonts w:cstheme="minorHAnsi"/>
          <w:i/>
          <w:iCs/>
          <w:lang w:val="en-US"/>
        </w:rPr>
        <w:t>Childhood and society</w:t>
      </w:r>
      <w:r w:rsidRPr="0028493C">
        <w:rPr>
          <w:rFonts w:cstheme="minorHAnsi"/>
          <w:lang w:val="en-US"/>
        </w:rPr>
        <w:t xml:space="preserve"> (2nd ed.). New York: Norton</w:t>
      </w:r>
      <w:r w:rsidR="00D307E4" w:rsidRPr="0028493C">
        <w:rPr>
          <w:rFonts w:cstheme="minorHAnsi"/>
          <w:lang w:val="en-US"/>
        </w:rPr>
        <w:t>, 1963.</w:t>
      </w:r>
    </w:p>
    <w:p w:rsidR="00F53C96" w:rsidRPr="0028493C" w:rsidRDefault="00F53C96" w:rsidP="00F53C96">
      <w:pPr>
        <w:autoSpaceDE w:val="0"/>
        <w:autoSpaceDN w:val="0"/>
        <w:adjustRightInd w:val="0"/>
        <w:rPr>
          <w:rFonts w:cstheme="minorHAnsi"/>
          <w:lang w:val="en-US"/>
        </w:rPr>
      </w:pPr>
      <w:r w:rsidRPr="0028493C">
        <w:rPr>
          <w:rFonts w:cstheme="minorHAnsi"/>
          <w:lang w:val="en-US"/>
        </w:rPr>
        <w:t>Erikson, E</w:t>
      </w:r>
      <w:r w:rsidR="00D307E4" w:rsidRPr="0028493C">
        <w:rPr>
          <w:rFonts w:cstheme="minorHAnsi"/>
          <w:lang w:val="en-US"/>
        </w:rPr>
        <w:t xml:space="preserve">rik </w:t>
      </w:r>
      <w:r w:rsidRPr="0028493C">
        <w:rPr>
          <w:rFonts w:cstheme="minorHAnsi"/>
          <w:lang w:val="en-US"/>
        </w:rPr>
        <w:t xml:space="preserve">H. </w:t>
      </w:r>
      <w:r w:rsidRPr="0028493C">
        <w:rPr>
          <w:rFonts w:cstheme="minorHAnsi"/>
          <w:i/>
          <w:iCs/>
          <w:lang w:val="en-US"/>
        </w:rPr>
        <w:t>Gandhi’s truth: On the origins of militant nonviolence</w:t>
      </w:r>
      <w:r w:rsidRPr="0028493C">
        <w:rPr>
          <w:rFonts w:cstheme="minorHAnsi"/>
          <w:lang w:val="en-US"/>
        </w:rPr>
        <w:t>. New</w:t>
      </w:r>
    </w:p>
    <w:p w:rsidR="00F53C96" w:rsidRPr="0028493C" w:rsidRDefault="00F53C96" w:rsidP="00F53C96">
      <w:pPr>
        <w:rPr>
          <w:rFonts w:cstheme="minorHAnsi"/>
          <w:lang w:val="en-US"/>
        </w:rPr>
      </w:pPr>
      <w:r w:rsidRPr="0028493C">
        <w:rPr>
          <w:rFonts w:cstheme="minorHAnsi"/>
          <w:lang w:val="en-US"/>
        </w:rPr>
        <w:t>York: Norton</w:t>
      </w:r>
      <w:r w:rsidR="00D307E4" w:rsidRPr="0028493C">
        <w:rPr>
          <w:rFonts w:cstheme="minorHAnsi"/>
          <w:lang w:val="en-US"/>
        </w:rPr>
        <w:t>, 1969.</w:t>
      </w:r>
    </w:p>
    <w:p w:rsidR="0028493C" w:rsidRPr="0028493C" w:rsidRDefault="0028493C" w:rsidP="00F53C96">
      <w:pPr>
        <w:rPr>
          <w:rFonts w:cstheme="minorHAnsi"/>
        </w:rPr>
      </w:pPr>
      <w:r w:rsidRPr="0028493C">
        <w:rPr>
          <w:rFonts w:cstheme="minorHAnsi"/>
          <w:i/>
          <w:iCs/>
        </w:rPr>
        <w:t>Frits de Lange, Grond onder de voeten: Burgerlijkheid bij Dietrich Bonhoeffer</w:t>
      </w:r>
      <w:r w:rsidRPr="0028493C">
        <w:rPr>
          <w:rFonts w:cstheme="minorHAnsi"/>
        </w:rPr>
        <w:t>. Kampen: van den Berg 1985.</w:t>
      </w:r>
    </w:p>
    <w:p w:rsidR="00F53C96" w:rsidRPr="0028493C" w:rsidRDefault="00F53C96" w:rsidP="00F53C96">
      <w:pPr>
        <w:rPr>
          <w:rFonts w:cstheme="minorHAnsi"/>
          <w:lang w:val="en-US"/>
        </w:rPr>
      </w:pPr>
      <w:r w:rsidRPr="0028493C">
        <w:rPr>
          <w:rFonts w:cstheme="minorHAnsi"/>
          <w:lang w:val="en-US"/>
        </w:rPr>
        <w:t xml:space="preserve">McAdams, </w:t>
      </w:r>
      <w:r w:rsidR="00D307E4" w:rsidRPr="0028493C">
        <w:rPr>
          <w:rFonts w:cstheme="minorHAnsi"/>
          <w:lang w:val="en-US"/>
        </w:rPr>
        <w:t>Dan P. ‘</w:t>
      </w:r>
      <w:r w:rsidRPr="0028493C">
        <w:rPr>
          <w:rFonts w:cstheme="minorHAnsi"/>
          <w:lang w:val="en-US"/>
        </w:rPr>
        <w:t>Generativity in Midlife</w:t>
      </w:r>
      <w:r w:rsidR="00D307E4" w:rsidRPr="0028493C">
        <w:rPr>
          <w:rFonts w:cstheme="minorHAnsi"/>
          <w:lang w:val="en-US"/>
        </w:rPr>
        <w:t>’. In</w:t>
      </w:r>
      <w:r w:rsidRPr="0028493C">
        <w:rPr>
          <w:rFonts w:cstheme="minorHAnsi"/>
          <w:lang w:val="en-US"/>
        </w:rPr>
        <w:t xml:space="preserve"> Margie E. Lachman</w:t>
      </w:r>
      <w:r w:rsidR="00D307E4" w:rsidRPr="0028493C">
        <w:rPr>
          <w:rFonts w:cstheme="minorHAnsi"/>
          <w:lang w:val="en-US"/>
        </w:rPr>
        <w:t xml:space="preserve"> (</w:t>
      </w:r>
      <w:r w:rsidRPr="0028493C">
        <w:rPr>
          <w:rFonts w:cstheme="minorHAnsi"/>
          <w:lang w:val="en-US"/>
        </w:rPr>
        <w:t>ed</w:t>
      </w:r>
      <w:r w:rsidR="00D307E4" w:rsidRPr="0028493C">
        <w:rPr>
          <w:rFonts w:cstheme="minorHAnsi"/>
          <w:lang w:val="en-US"/>
        </w:rPr>
        <w:t xml:space="preserve">.). </w:t>
      </w:r>
      <w:r w:rsidRPr="0028493C">
        <w:rPr>
          <w:rFonts w:cstheme="minorHAnsi"/>
          <w:i/>
          <w:iCs/>
          <w:lang w:val="en-US"/>
        </w:rPr>
        <w:t>Handbook of Midlife Development</w:t>
      </w:r>
      <w:r w:rsidRPr="0028493C">
        <w:rPr>
          <w:rFonts w:cstheme="minorHAnsi"/>
          <w:lang w:val="en-US"/>
        </w:rPr>
        <w:t xml:space="preserve">. </w:t>
      </w:r>
      <w:r w:rsidR="00D307E4" w:rsidRPr="0028493C">
        <w:rPr>
          <w:rFonts w:cstheme="minorHAnsi"/>
          <w:lang w:val="en-US"/>
        </w:rPr>
        <w:t xml:space="preserve">New York: </w:t>
      </w:r>
      <w:r w:rsidRPr="0028493C">
        <w:rPr>
          <w:rFonts w:cstheme="minorHAnsi"/>
          <w:lang w:val="en-US"/>
        </w:rPr>
        <w:t>John Wiley &amp; Sons, Inc. 2001</w:t>
      </w:r>
      <w:r w:rsidR="00D307E4" w:rsidRPr="0028493C">
        <w:rPr>
          <w:rFonts w:cstheme="minorHAnsi"/>
          <w:lang w:val="en-US"/>
        </w:rPr>
        <w:t xml:space="preserve">: </w:t>
      </w:r>
      <w:r w:rsidRPr="0028493C">
        <w:rPr>
          <w:rFonts w:cstheme="minorHAnsi"/>
          <w:lang w:val="en-US"/>
        </w:rPr>
        <w:t>395 – 443.</w:t>
      </w:r>
    </w:p>
    <w:p w:rsidR="00F53C96" w:rsidRPr="0028493C" w:rsidRDefault="00F53C96" w:rsidP="00F53C96">
      <w:pPr>
        <w:rPr>
          <w:rFonts w:cstheme="minorHAnsi"/>
          <w:lang w:val="en-US"/>
        </w:rPr>
      </w:pPr>
      <w:r w:rsidRPr="0028493C">
        <w:rPr>
          <w:rFonts w:cstheme="minorHAnsi"/>
          <w:lang w:val="en-US"/>
        </w:rPr>
        <w:t xml:space="preserve">McAdams </w:t>
      </w:r>
      <w:r w:rsidR="00D307E4" w:rsidRPr="0028493C">
        <w:rPr>
          <w:rFonts w:cstheme="minorHAnsi"/>
          <w:lang w:val="en-US"/>
        </w:rPr>
        <w:t xml:space="preserve">Dan P. and </w:t>
      </w:r>
      <w:r w:rsidRPr="0028493C">
        <w:rPr>
          <w:rFonts w:cstheme="minorHAnsi"/>
          <w:lang w:val="en-US"/>
        </w:rPr>
        <w:t xml:space="preserve">Ed de St. Aubin (eds.), </w:t>
      </w:r>
      <w:r w:rsidRPr="0028493C">
        <w:rPr>
          <w:rFonts w:cstheme="minorHAnsi"/>
          <w:i/>
          <w:iCs/>
          <w:lang w:val="en-US"/>
        </w:rPr>
        <w:t>Generativity and Adult Development. How and Why we Care for the Next Generation,</w:t>
      </w:r>
      <w:r w:rsidRPr="0028493C">
        <w:rPr>
          <w:rFonts w:cstheme="minorHAnsi"/>
          <w:lang w:val="en-US"/>
        </w:rPr>
        <w:t xml:space="preserve"> </w:t>
      </w:r>
      <w:r w:rsidR="00D307E4" w:rsidRPr="0028493C">
        <w:rPr>
          <w:rFonts w:cstheme="minorHAnsi"/>
          <w:lang w:val="en-US"/>
        </w:rPr>
        <w:t xml:space="preserve">Washington, DC: </w:t>
      </w:r>
      <w:r w:rsidRPr="0028493C">
        <w:rPr>
          <w:rFonts w:cstheme="minorHAnsi"/>
          <w:lang w:val="en-US"/>
        </w:rPr>
        <w:t>American Psychological Association, 1998.</w:t>
      </w:r>
    </w:p>
    <w:p w:rsidR="00F53C96" w:rsidRPr="0028493C" w:rsidRDefault="00F53C96" w:rsidP="00F53C96">
      <w:pPr>
        <w:rPr>
          <w:rFonts w:cstheme="minorHAnsi"/>
          <w:lang w:val="en-US"/>
        </w:rPr>
      </w:pPr>
      <w:proofErr w:type="spellStart"/>
      <w:r w:rsidRPr="0028493C">
        <w:rPr>
          <w:rFonts w:cstheme="minorHAnsi"/>
          <w:lang w:val="en-US"/>
        </w:rPr>
        <w:t>Kotre</w:t>
      </w:r>
      <w:proofErr w:type="spellEnd"/>
      <w:r w:rsidRPr="0028493C">
        <w:rPr>
          <w:rFonts w:cstheme="minorHAnsi"/>
          <w:lang w:val="en-US"/>
        </w:rPr>
        <w:t xml:space="preserve">, </w:t>
      </w:r>
      <w:r w:rsidR="00D307E4" w:rsidRPr="0028493C">
        <w:rPr>
          <w:rFonts w:cstheme="minorHAnsi"/>
          <w:lang w:val="en-US"/>
        </w:rPr>
        <w:t xml:space="preserve">John, </w:t>
      </w:r>
      <w:r w:rsidRPr="0028493C">
        <w:rPr>
          <w:rFonts w:cstheme="minorHAnsi"/>
          <w:i/>
          <w:iCs/>
          <w:lang w:val="en-US"/>
        </w:rPr>
        <w:t>Outliving the Self. How We Live on in Future Generations</w:t>
      </w:r>
      <w:r w:rsidRPr="0028493C">
        <w:rPr>
          <w:rFonts w:cstheme="minorHAnsi"/>
          <w:lang w:val="en-US"/>
        </w:rPr>
        <w:t xml:space="preserve">, </w:t>
      </w:r>
      <w:r w:rsidR="00D307E4" w:rsidRPr="0028493C">
        <w:rPr>
          <w:rFonts w:cstheme="minorHAnsi"/>
          <w:lang w:val="en-US"/>
        </w:rPr>
        <w:t xml:space="preserve">New York and London: </w:t>
      </w:r>
      <w:r w:rsidRPr="0028493C">
        <w:rPr>
          <w:rFonts w:cstheme="minorHAnsi"/>
          <w:lang w:val="en-US"/>
        </w:rPr>
        <w:t>WW. Norton &amp; Company, 1984.</w:t>
      </w:r>
    </w:p>
    <w:p w:rsidR="0028493C" w:rsidRPr="0028493C" w:rsidRDefault="0028493C" w:rsidP="0028493C">
      <w:pPr>
        <w:rPr>
          <w:rFonts w:cstheme="minorHAnsi"/>
          <w:color w:val="000000" w:themeColor="text1"/>
          <w:lang w:val="en-US"/>
        </w:rPr>
      </w:pPr>
      <w:r w:rsidRPr="0028493C">
        <w:rPr>
          <w:rFonts w:cstheme="minorHAnsi"/>
          <w:color w:val="000000" w:themeColor="text1"/>
          <w:lang w:val="en-US"/>
        </w:rPr>
        <w:t xml:space="preserve">Esther D. Reed, </w:t>
      </w:r>
      <w:r w:rsidRPr="0028493C">
        <w:rPr>
          <w:rFonts w:cstheme="minorHAnsi"/>
          <w:i/>
          <w:iCs/>
          <w:color w:val="000000" w:themeColor="text1"/>
          <w:lang w:val="en-US"/>
        </w:rPr>
        <w:t xml:space="preserve">The Limits of Responsibility: Dietrich Bonhoeffer’s Ethics for a Globalizing Era. </w:t>
      </w:r>
      <w:r w:rsidRPr="0028493C">
        <w:rPr>
          <w:rFonts w:cstheme="minorHAnsi"/>
          <w:color w:val="000000" w:themeColor="text1"/>
          <w:lang w:val="en-US"/>
        </w:rPr>
        <w:t>London &amp; New York: T&amp;T Clark 2018.</w:t>
      </w:r>
    </w:p>
    <w:p w:rsidR="0028493C" w:rsidRPr="00F53C96" w:rsidRDefault="0028493C" w:rsidP="00F53C96">
      <w:pPr>
        <w:rPr>
          <w:rFonts w:cstheme="minorHAnsi"/>
          <w:lang w:val="en-US"/>
        </w:rPr>
      </w:pPr>
    </w:p>
    <w:p w:rsidR="00F53C96" w:rsidRPr="00F53C96" w:rsidRDefault="00F53C96" w:rsidP="00F53C96">
      <w:pPr>
        <w:rPr>
          <w:rFonts w:cstheme="minorHAnsi"/>
          <w:lang w:val="en-US"/>
        </w:rPr>
      </w:pPr>
    </w:p>
    <w:p w:rsidR="00F53C96" w:rsidRPr="00F53C96" w:rsidRDefault="00F53C96" w:rsidP="00F53C96">
      <w:pPr>
        <w:autoSpaceDE w:val="0"/>
        <w:autoSpaceDN w:val="0"/>
        <w:adjustRightInd w:val="0"/>
        <w:rPr>
          <w:rFonts w:cstheme="minorHAnsi"/>
          <w:i/>
          <w:iCs/>
          <w:color w:val="000000" w:themeColor="text1"/>
          <w:lang w:val="en-US"/>
        </w:rPr>
      </w:pPr>
    </w:p>
    <w:p w:rsidR="00F53C96" w:rsidRPr="00F53C96" w:rsidRDefault="00F53C96" w:rsidP="00F53C96">
      <w:pPr>
        <w:autoSpaceDE w:val="0"/>
        <w:autoSpaceDN w:val="0"/>
        <w:adjustRightInd w:val="0"/>
        <w:rPr>
          <w:rFonts w:cstheme="minorHAnsi"/>
          <w:i/>
          <w:iCs/>
          <w:color w:val="000000" w:themeColor="text1"/>
          <w:shd w:val="clear" w:color="auto" w:fill="FFFFFF"/>
          <w:lang w:val="en-US"/>
        </w:rPr>
      </w:pPr>
    </w:p>
    <w:p w:rsidR="00F53C96" w:rsidRPr="00F53C96" w:rsidRDefault="00F53C96" w:rsidP="00F53C96">
      <w:pPr>
        <w:rPr>
          <w:rFonts w:cstheme="minorHAnsi"/>
          <w:lang w:val="en-US"/>
        </w:rPr>
      </w:pPr>
    </w:p>
    <w:p w:rsidR="00F53C96" w:rsidRPr="00F53C96" w:rsidRDefault="00F53C96" w:rsidP="00F53C96">
      <w:pPr>
        <w:rPr>
          <w:rFonts w:cstheme="minorHAnsi"/>
          <w:lang w:val="en-US"/>
        </w:rPr>
      </w:pPr>
    </w:p>
    <w:p w:rsidR="00F53C96" w:rsidRPr="00F53C96" w:rsidRDefault="00F53C96" w:rsidP="00F53C96">
      <w:pPr>
        <w:autoSpaceDE w:val="0"/>
        <w:autoSpaceDN w:val="0"/>
        <w:adjustRightInd w:val="0"/>
        <w:rPr>
          <w:rFonts w:cstheme="minorHAnsi"/>
          <w:lang w:val="en-US"/>
        </w:rPr>
      </w:pPr>
    </w:p>
    <w:p w:rsidR="00F53C96" w:rsidRPr="00F53C96" w:rsidRDefault="00F53C96" w:rsidP="00F53C96">
      <w:pPr>
        <w:autoSpaceDE w:val="0"/>
        <w:autoSpaceDN w:val="0"/>
        <w:adjustRightInd w:val="0"/>
        <w:rPr>
          <w:rFonts w:cstheme="minorHAnsi"/>
          <w:lang w:val="en-US"/>
        </w:rPr>
      </w:pPr>
    </w:p>
    <w:p w:rsidR="00F53C96" w:rsidRPr="00F53C96" w:rsidRDefault="00F53C96" w:rsidP="00F53C96">
      <w:pPr>
        <w:rPr>
          <w:rFonts w:cstheme="minorHAnsi"/>
          <w:lang w:val="en-US"/>
        </w:rPr>
      </w:pPr>
    </w:p>
    <w:p w:rsidR="0028493C" w:rsidRPr="00D307E4" w:rsidRDefault="0028493C">
      <w:pPr>
        <w:rPr>
          <w:rFonts w:cstheme="minorHAnsi"/>
          <w:lang w:val="en-US"/>
        </w:rPr>
      </w:pPr>
    </w:p>
    <w:sectPr w:rsidR="0028493C" w:rsidRPr="00D307E4" w:rsidSect="00F53C96">
      <w:headerReference w:type="even" r:id="rId10"/>
      <w:headerReference w:type="default" r:id="rId11"/>
      <w:pgSz w:w="11904" w:h="16838" w:orient="landscape"/>
      <w:pgMar w:top="1417" w:right="226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08B4" w:rsidRDefault="00A708B4" w:rsidP="00F53C96">
      <w:r>
        <w:separator/>
      </w:r>
    </w:p>
  </w:endnote>
  <w:endnote w:type="continuationSeparator" w:id="0">
    <w:p w:rsidR="00A708B4" w:rsidRDefault="00A708B4" w:rsidP="00F5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08B4" w:rsidRDefault="00A708B4" w:rsidP="00F53C96">
      <w:r>
        <w:separator/>
      </w:r>
    </w:p>
  </w:footnote>
  <w:footnote w:type="continuationSeparator" w:id="0">
    <w:p w:rsidR="00A708B4" w:rsidRDefault="00A708B4" w:rsidP="00F53C96">
      <w:r>
        <w:continuationSeparator/>
      </w:r>
    </w:p>
  </w:footnote>
  <w:footnote w:id="1">
    <w:p w:rsidR="0028493C" w:rsidRPr="00095563" w:rsidRDefault="0028493C" w:rsidP="00F53C96">
      <w:pPr>
        <w:rPr>
          <w:sz w:val="20"/>
          <w:szCs w:val="20"/>
          <w:lang w:val="en-US"/>
        </w:rPr>
      </w:pPr>
      <w:r w:rsidRPr="00095563">
        <w:rPr>
          <w:rStyle w:val="Voetnootmarkering"/>
          <w:sz w:val="20"/>
          <w:szCs w:val="20"/>
        </w:rPr>
        <w:footnoteRef/>
      </w:r>
      <w:r w:rsidRPr="00095563">
        <w:rPr>
          <w:sz w:val="20"/>
          <w:szCs w:val="20"/>
          <w:lang w:val="en-US"/>
        </w:rPr>
        <w:t xml:space="preserve"> Cf. the poem </w:t>
      </w:r>
      <w:r w:rsidRPr="00095563">
        <w:rPr>
          <w:i/>
          <w:iCs/>
          <w:sz w:val="20"/>
          <w:szCs w:val="20"/>
          <w:lang w:val="en-US"/>
        </w:rPr>
        <w:t>The Death of Moses</w:t>
      </w:r>
      <w:r w:rsidRPr="00095563">
        <w:rPr>
          <w:sz w:val="20"/>
          <w:szCs w:val="20"/>
          <w:lang w:val="en-US"/>
        </w:rPr>
        <w:t>, where Bonhoeffer perceives the future world through Moses’ “old man’s eyes” (DBWE 8: 534).</w:t>
      </w:r>
    </w:p>
  </w:footnote>
  <w:footnote w:id="2">
    <w:p w:rsidR="0028493C" w:rsidRPr="00095563" w:rsidRDefault="0028493C" w:rsidP="00F53C96">
      <w:pPr>
        <w:pStyle w:val="Voetnoottekst"/>
        <w:rPr>
          <w:lang w:val="en-US"/>
        </w:rPr>
      </w:pPr>
      <w:r w:rsidRPr="00095563">
        <w:rPr>
          <w:rStyle w:val="Voetnootmarkering"/>
        </w:rPr>
        <w:footnoteRef/>
      </w:r>
      <w:r w:rsidRPr="00095563">
        <w:rPr>
          <w:lang w:val="en-US"/>
        </w:rPr>
        <w:t xml:space="preserve"> “Month to month we sit next to each other for an hour as obediently as schoolchildren and are then torn away from each other again. We know next to nothing about each other.” (DBWE 8: 221f.)</w:t>
      </w:r>
    </w:p>
  </w:footnote>
  <w:footnote w:id="3">
    <w:p w:rsidR="0028493C" w:rsidRPr="00095563" w:rsidRDefault="0028493C" w:rsidP="00095563">
      <w:pPr>
        <w:rPr>
          <w:rFonts w:cstheme="minorHAnsi"/>
          <w:sz w:val="20"/>
          <w:szCs w:val="20"/>
          <w:lang w:val="en-US"/>
        </w:rPr>
      </w:pPr>
      <w:r w:rsidRPr="00095563">
        <w:rPr>
          <w:rStyle w:val="Voetnootmarkering"/>
          <w:sz w:val="20"/>
          <w:szCs w:val="20"/>
        </w:rPr>
        <w:footnoteRef/>
      </w:r>
      <w:r w:rsidRPr="00095563">
        <w:rPr>
          <w:sz w:val="20"/>
          <w:szCs w:val="20"/>
          <w:lang w:val="en-US"/>
        </w:rPr>
        <w:t xml:space="preserve"> </w:t>
      </w:r>
      <w:r w:rsidRPr="00095563">
        <w:rPr>
          <w:rFonts w:eastAsia="Times New Roman" w:cstheme="minorHAnsi"/>
          <w:color w:val="000000"/>
          <w:sz w:val="20"/>
          <w:szCs w:val="20"/>
          <w:shd w:val="clear" w:color="auto" w:fill="FFFFFF"/>
          <w:lang w:val="en-US" w:eastAsia="nl-NL"/>
        </w:rPr>
        <w:t xml:space="preserve">John </w:t>
      </w:r>
      <w:proofErr w:type="spellStart"/>
      <w:r w:rsidRPr="00095563">
        <w:rPr>
          <w:rFonts w:eastAsia="Times New Roman" w:cstheme="minorHAnsi"/>
          <w:color w:val="000000"/>
          <w:sz w:val="20"/>
          <w:szCs w:val="20"/>
          <w:shd w:val="clear" w:color="auto" w:fill="FFFFFF"/>
          <w:lang w:val="en-US" w:eastAsia="nl-NL"/>
        </w:rPr>
        <w:t>Kotre</w:t>
      </w:r>
      <w:proofErr w:type="spellEnd"/>
      <w:r w:rsidRPr="00095563">
        <w:rPr>
          <w:rFonts w:cstheme="minorHAnsi"/>
          <w:sz w:val="20"/>
          <w:szCs w:val="20"/>
          <w:lang w:val="en-US"/>
        </w:rPr>
        <w:t xml:space="preserve">, </w:t>
      </w:r>
      <w:r w:rsidRPr="00095563">
        <w:rPr>
          <w:rFonts w:cstheme="minorHAnsi"/>
          <w:i/>
          <w:iCs/>
          <w:sz w:val="20"/>
          <w:szCs w:val="20"/>
          <w:lang w:val="en-US"/>
        </w:rPr>
        <w:t>Outliving the Self: How We Live on in Future Generations</w:t>
      </w:r>
      <w:r w:rsidRPr="00095563">
        <w:rPr>
          <w:rFonts w:cstheme="minorHAnsi"/>
          <w:sz w:val="20"/>
          <w:szCs w:val="20"/>
          <w:lang w:val="en-US"/>
        </w:rPr>
        <w:t xml:space="preserve"> (New York and London: WW. Norton &amp; Company, 1984), 10.</w:t>
      </w:r>
    </w:p>
  </w:footnote>
  <w:footnote w:id="4">
    <w:p w:rsidR="0028493C" w:rsidRPr="00095563" w:rsidRDefault="0028493C" w:rsidP="00F53C96">
      <w:pPr>
        <w:rPr>
          <w:sz w:val="20"/>
          <w:szCs w:val="20"/>
          <w:lang w:val="en-US"/>
        </w:rPr>
      </w:pPr>
      <w:r w:rsidRPr="00095563">
        <w:rPr>
          <w:rStyle w:val="Voetnootmarkering"/>
          <w:sz w:val="20"/>
          <w:szCs w:val="20"/>
        </w:rPr>
        <w:footnoteRef/>
      </w:r>
      <w:r w:rsidRPr="00095563">
        <w:rPr>
          <w:sz w:val="20"/>
          <w:szCs w:val="20"/>
          <w:lang w:val="en-US"/>
        </w:rPr>
        <w:t xml:space="preserve"> Plato, cited by Dan P. McAdams, </w:t>
      </w:r>
      <w:r>
        <w:rPr>
          <w:sz w:val="20"/>
          <w:szCs w:val="20"/>
          <w:lang w:val="en-US"/>
        </w:rPr>
        <w:t>‘</w:t>
      </w:r>
      <w:r w:rsidRPr="00095563">
        <w:rPr>
          <w:sz w:val="20"/>
          <w:szCs w:val="20"/>
          <w:lang w:val="en-US"/>
        </w:rPr>
        <w:t>Generativity in Midlife</w:t>
      </w:r>
      <w:r>
        <w:rPr>
          <w:sz w:val="20"/>
          <w:szCs w:val="20"/>
          <w:lang w:val="en-US"/>
        </w:rPr>
        <w:t>’</w:t>
      </w:r>
      <w:r w:rsidRPr="00095563">
        <w:rPr>
          <w:sz w:val="20"/>
          <w:szCs w:val="20"/>
          <w:lang w:val="en-US"/>
        </w:rPr>
        <w:t>, Margie E. Lachman</w:t>
      </w:r>
      <w:r>
        <w:rPr>
          <w:sz w:val="20"/>
          <w:szCs w:val="20"/>
          <w:lang w:val="en-US"/>
        </w:rPr>
        <w:t xml:space="preserve">, </w:t>
      </w:r>
      <w:r w:rsidRPr="00095563">
        <w:rPr>
          <w:sz w:val="20"/>
          <w:szCs w:val="20"/>
          <w:lang w:val="en-US"/>
        </w:rPr>
        <w:t xml:space="preserve">ed., </w:t>
      </w:r>
      <w:r w:rsidRPr="00095563">
        <w:rPr>
          <w:i/>
          <w:iCs/>
          <w:sz w:val="20"/>
          <w:szCs w:val="20"/>
          <w:lang w:val="en-US"/>
        </w:rPr>
        <w:t>Handbook of Midlife Development</w:t>
      </w:r>
      <w:r>
        <w:rPr>
          <w:sz w:val="20"/>
          <w:szCs w:val="20"/>
          <w:lang w:val="en-US"/>
        </w:rPr>
        <w:t xml:space="preserve"> (</w:t>
      </w:r>
      <w:r w:rsidRPr="00095563">
        <w:rPr>
          <w:sz w:val="20"/>
          <w:szCs w:val="20"/>
          <w:lang w:val="en-US"/>
        </w:rPr>
        <w:t>New York</w:t>
      </w:r>
      <w:r>
        <w:rPr>
          <w:sz w:val="20"/>
          <w:szCs w:val="20"/>
          <w:lang w:val="en-US"/>
        </w:rPr>
        <w:t xml:space="preserve">: </w:t>
      </w:r>
      <w:r w:rsidRPr="00095563">
        <w:rPr>
          <w:sz w:val="20"/>
          <w:szCs w:val="20"/>
          <w:lang w:val="en-US"/>
        </w:rPr>
        <w:t>John Wiley &amp; Sons, Inc</w:t>
      </w:r>
      <w:r>
        <w:rPr>
          <w:sz w:val="20"/>
          <w:szCs w:val="20"/>
          <w:lang w:val="en-US"/>
        </w:rPr>
        <w:t>.,</w:t>
      </w:r>
      <w:r w:rsidRPr="00095563">
        <w:rPr>
          <w:sz w:val="20"/>
          <w:szCs w:val="20"/>
          <w:lang w:val="en-US"/>
        </w:rPr>
        <w:t xml:space="preserve"> 2001</w:t>
      </w:r>
      <w:r>
        <w:rPr>
          <w:sz w:val="20"/>
          <w:szCs w:val="20"/>
          <w:lang w:val="en-US"/>
        </w:rPr>
        <w:t xml:space="preserve">), </w:t>
      </w:r>
      <w:r w:rsidRPr="00095563">
        <w:rPr>
          <w:sz w:val="20"/>
          <w:szCs w:val="20"/>
          <w:lang w:val="en-US"/>
        </w:rPr>
        <w:t>395 – 443, 398.</w:t>
      </w:r>
    </w:p>
  </w:footnote>
  <w:footnote w:id="5">
    <w:p w:rsidR="0028493C" w:rsidRPr="00BA6353" w:rsidRDefault="0028493C" w:rsidP="00BA6353">
      <w:pPr>
        <w:rPr>
          <w:rFonts w:cstheme="minorHAnsi"/>
          <w:sz w:val="20"/>
          <w:szCs w:val="20"/>
          <w:lang w:val="en-US"/>
        </w:rPr>
      </w:pPr>
      <w:r w:rsidRPr="00BA6353">
        <w:rPr>
          <w:rStyle w:val="Voetnootmarkering"/>
          <w:sz w:val="20"/>
          <w:szCs w:val="20"/>
        </w:rPr>
        <w:footnoteRef/>
      </w:r>
      <w:r w:rsidRPr="00BA6353">
        <w:rPr>
          <w:sz w:val="20"/>
          <w:szCs w:val="20"/>
          <w:lang w:val="en-US"/>
        </w:rPr>
        <w:t xml:space="preserve"> Erik H. </w:t>
      </w:r>
      <w:r w:rsidRPr="00BA6353">
        <w:rPr>
          <w:rFonts w:cstheme="minorHAnsi"/>
          <w:sz w:val="20"/>
          <w:szCs w:val="20"/>
          <w:lang w:val="en-US"/>
        </w:rPr>
        <w:t xml:space="preserve">Erikson, </w:t>
      </w:r>
      <w:r w:rsidRPr="00BA6353">
        <w:rPr>
          <w:rFonts w:cstheme="minorHAnsi"/>
          <w:i/>
          <w:iCs/>
          <w:sz w:val="20"/>
          <w:szCs w:val="20"/>
          <w:lang w:val="en-US"/>
        </w:rPr>
        <w:t>Childhood and society</w:t>
      </w:r>
      <w:r w:rsidRPr="00BA6353">
        <w:rPr>
          <w:rFonts w:cstheme="minorHAnsi"/>
          <w:sz w:val="20"/>
          <w:szCs w:val="20"/>
          <w:lang w:val="en-US"/>
        </w:rPr>
        <w:t xml:space="preserve"> (2nd ed.)</w:t>
      </w:r>
      <w:r>
        <w:rPr>
          <w:rFonts w:cstheme="minorHAnsi"/>
          <w:sz w:val="20"/>
          <w:szCs w:val="20"/>
          <w:lang w:val="en-US"/>
        </w:rPr>
        <w:t xml:space="preserve"> </w:t>
      </w:r>
      <w:r w:rsidRPr="00BA6353">
        <w:rPr>
          <w:rFonts w:cstheme="minorHAnsi"/>
          <w:sz w:val="20"/>
          <w:szCs w:val="20"/>
          <w:lang w:val="en-US"/>
        </w:rPr>
        <w:t>(New York: Norton, 1963), 240.</w:t>
      </w:r>
    </w:p>
  </w:footnote>
  <w:footnote w:id="6">
    <w:p w:rsidR="0028493C" w:rsidRPr="00BA6353" w:rsidRDefault="0028493C" w:rsidP="00BA6353">
      <w:pPr>
        <w:autoSpaceDE w:val="0"/>
        <w:autoSpaceDN w:val="0"/>
        <w:adjustRightInd w:val="0"/>
        <w:rPr>
          <w:rFonts w:cstheme="minorHAnsi"/>
          <w:sz w:val="20"/>
          <w:szCs w:val="20"/>
          <w:lang w:val="en-US"/>
        </w:rPr>
      </w:pPr>
      <w:r w:rsidRPr="00095563">
        <w:rPr>
          <w:rStyle w:val="Voetnootmarkering"/>
          <w:rFonts w:cstheme="minorHAnsi"/>
          <w:sz w:val="20"/>
          <w:szCs w:val="20"/>
        </w:rPr>
        <w:footnoteRef/>
      </w:r>
      <w:r w:rsidRPr="00095563">
        <w:rPr>
          <w:rFonts w:cstheme="minorHAnsi"/>
          <w:sz w:val="20"/>
          <w:szCs w:val="20"/>
          <w:lang w:val="en-US"/>
        </w:rPr>
        <w:t xml:space="preserve"> </w:t>
      </w:r>
      <w:r>
        <w:rPr>
          <w:rFonts w:cstheme="minorHAnsi"/>
          <w:sz w:val="20"/>
          <w:szCs w:val="20"/>
          <w:lang w:val="en-US"/>
        </w:rPr>
        <w:t xml:space="preserve">Erik H. </w:t>
      </w:r>
      <w:r w:rsidRPr="00095563">
        <w:rPr>
          <w:rFonts w:cstheme="minorHAnsi"/>
          <w:sz w:val="20"/>
          <w:szCs w:val="20"/>
          <w:lang w:val="en-US"/>
        </w:rPr>
        <w:t xml:space="preserve">Erikson, </w:t>
      </w:r>
      <w:r w:rsidRPr="00BA6353">
        <w:rPr>
          <w:rFonts w:cstheme="minorHAnsi"/>
          <w:i/>
          <w:iCs/>
          <w:sz w:val="20"/>
          <w:szCs w:val="20"/>
          <w:lang w:val="en-US"/>
        </w:rPr>
        <w:t>Gandhi’s truth: On the origins of militant nonviolence</w:t>
      </w:r>
      <w:r>
        <w:rPr>
          <w:rFonts w:cstheme="minorHAnsi"/>
          <w:sz w:val="20"/>
          <w:szCs w:val="20"/>
          <w:lang w:val="en-US"/>
        </w:rPr>
        <w:t xml:space="preserve"> (</w:t>
      </w:r>
      <w:r w:rsidRPr="00095563">
        <w:rPr>
          <w:rFonts w:cstheme="minorHAnsi"/>
          <w:sz w:val="20"/>
          <w:szCs w:val="20"/>
          <w:lang w:val="en-US"/>
        </w:rPr>
        <w:t>New</w:t>
      </w:r>
      <w:r>
        <w:rPr>
          <w:rFonts w:cstheme="minorHAnsi"/>
          <w:sz w:val="20"/>
          <w:szCs w:val="20"/>
          <w:lang w:val="en-US"/>
        </w:rPr>
        <w:t xml:space="preserve"> </w:t>
      </w:r>
      <w:r w:rsidRPr="00095563">
        <w:rPr>
          <w:rFonts w:cstheme="minorHAnsi"/>
          <w:sz w:val="20"/>
          <w:szCs w:val="20"/>
          <w:lang w:val="en-US"/>
        </w:rPr>
        <w:t>York: Norton</w:t>
      </w:r>
      <w:r>
        <w:rPr>
          <w:rFonts w:cstheme="minorHAnsi"/>
          <w:sz w:val="20"/>
          <w:szCs w:val="20"/>
          <w:lang w:val="en-US"/>
        </w:rPr>
        <w:t>, 1969).</w:t>
      </w:r>
      <w:r w:rsidRPr="00095563">
        <w:rPr>
          <w:rFonts w:ascii="Times New Roman" w:hAnsi="Times New Roman" w:cs="Times New Roman"/>
          <w:sz w:val="20"/>
          <w:szCs w:val="20"/>
          <w:lang w:val="en-US"/>
        </w:rPr>
        <w:t xml:space="preserve"> </w:t>
      </w:r>
      <w:proofErr w:type="spellStart"/>
      <w:r w:rsidRPr="00095563">
        <w:rPr>
          <w:rFonts w:cs="Times New Roman"/>
          <w:sz w:val="20"/>
          <w:szCs w:val="20"/>
          <w:lang w:val="en-US"/>
        </w:rPr>
        <w:t>Kotre</w:t>
      </w:r>
      <w:proofErr w:type="spellEnd"/>
      <w:r w:rsidRPr="00095563">
        <w:rPr>
          <w:rFonts w:cs="Times New Roman"/>
          <w:sz w:val="20"/>
          <w:szCs w:val="20"/>
          <w:lang w:val="en-US"/>
        </w:rPr>
        <w:t xml:space="preserve">, </w:t>
      </w:r>
      <w:r w:rsidRPr="00095563">
        <w:rPr>
          <w:i/>
          <w:iCs/>
          <w:sz w:val="20"/>
          <w:szCs w:val="20"/>
          <w:lang w:val="en-US"/>
        </w:rPr>
        <w:t>Outliving the Self</w:t>
      </w:r>
      <w:r w:rsidRPr="00095563">
        <w:rPr>
          <w:sz w:val="20"/>
          <w:szCs w:val="20"/>
          <w:lang w:val="en-US"/>
        </w:rPr>
        <w:t>, 10 – 16,</w:t>
      </w:r>
      <w:r w:rsidRPr="00095563">
        <w:rPr>
          <w:rFonts w:cs="Times New Roman"/>
          <w:sz w:val="20"/>
          <w:szCs w:val="20"/>
          <w:lang w:val="en-US"/>
        </w:rPr>
        <w:t xml:space="preserve"> distinguished among four different forms of generativity. In </w:t>
      </w:r>
      <w:r w:rsidRPr="00095563">
        <w:rPr>
          <w:rFonts w:cs="Times New Roman"/>
          <w:i/>
          <w:iCs/>
          <w:sz w:val="20"/>
          <w:szCs w:val="20"/>
          <w:lang w:val="en-US"/>
        </w:rPr>
        <w:t xml:space="preserve">biological </w:t>
      </w:r>
      <w:r w:rsidRPr="00095563">
        <w:rPr>
          <w:rFonts w:cs="Times New Roman"/>
          <w:sz w:val="20"/>
          <w:szCs w:val="20"/>
          <w:lang w:val="en-US"/>
        </w:rPr>
        <w:t xml:space="preserve">generativity, the generative object is the infant. In </w:t>
      </w:r>
      <w:r w:rsidRPr="00095563">
        <w:rPr>
          <w:rFonts w:cs="Times New Roman"/>
          <w:i/>
          <w:iCs/>
          <w:sz w:val="20"/>
          <w:szCs w:val="20"/>
          <w:lang w:val="en-US"/>
        </w:rPr>
        <w:t xml:space="preserve">parental </w:t>
      </w:r>
      <w:r w:rsidRPr="00095563">
        <w:rPr>
          <w:rFonts w:cs="Times New Roman"/>
          <w:sz w:val="20"/>
          <w:szCs w:val="20"/>
          <w:lang w:val="en-US"/>
        </w:rPr>
        <w:t xml:space="preserve">generativity, the child is initiated in social and cultural traditions. In </w:t>
      </w:r>
      <w:r w:rsidRPr="00095563">
        <w:rPr>
          <w:rFonts w:cs="Times New Roman"/>
          <w:i/>
          <w:iCs/>
          <w:sz w:val="20"/>
          <w:szCs w:val="20"/>
          <w:lang w:val="en-US"/>
        </w:rPr>
        <w:t>technical</w:t>
      </w:r>
      <w:r w:rsidRPr="00095563">
        <w:rPr>
          <w:rFonts w:cs="Times New Roman"/>
          <w:sz w:val="20"/>
          <w:szCs w:val="20"/>
          <w:lang w:val="en-US"/>
        </w:rPr>
        <w:t xml:space="preserve"> generativity, skills are transmitted. Finally, in </w:t>
      </w:r>
      <w:r w:rsidRPr="00095563">
        <w:rPr>
          <w:rFonts w:cs="Times New Roman"/>
          <w:i/>
          <w:iCs/>
          <w:sz w:val="20"/>
          <w:szCs w:val="20"/>
          <w:lang w:val="en-US"/>
        </w:rPr>
        <w:t>cultural</w:t>
      </w:r>
      <w:r w:rsidRPr="00095563">
        <w:rPr>
          <w:rFonts w:cs="Times New Roman"/>
          <w:sz w:val="20"/>
          <w:szCs w:val="20"/>
          <w:lang w:val="en-US"/>
        </w:rPr>
        <w:t xml:space="preserve"> generativity, the adult passes the symbolic system, the ‘mind’ of a culture, on to the next generation.</w:t>
      </w:r>
    </w:p>
  </w:footnote>
  <w:footnote w:id="7">
    <w:p w:rsidR="0028493C" w:rsidRPr="00BA6353" w:rsidRDefault="0028493C" w:rsidP="00F53C96">
      <w:pPr>
        <w:autoSpaceDE w:val="0"/>
        <w:autoSpaceDN w:val="0"/>
        <w:adjustRightInd w:val="0"/>
        <w:rPr>
          <w:rFonts w:cs="Times New Roman"/>
          <w:color w:val="000000" w:themeColor="text1"/>
          <w:sz w:val="20"/>
          <w:szCs w:val="20"/>
          <w:lang w:val="en-US"/>
        </w:rPr>
      </w:pPr>
      <w:r w:rsidRPr="00BA6353">
        <w:rPr>
          <w:rStyle w:val="Voetnootmarkering"/>
          <w:sz w:val="20"/>
          <w:szCs w:val="20"/>
        </w:rPr>
        <w:footnoteRef/>
      </w:r>
      <w:r w:rsidRPr="00BA6353">
        <w:rPr>
          <w:sz w:val="20"/>
          <w:szCs w:val="20"/>
          <w:lang w:val="en-US"/>
        </w:rPr>
        <w:t xml:space="preserve"> </w:t>
      </w:r>
      <w:r w:rsidRPr="00BA6353">
        <w:rPr>
          <w:rStyle w:val="citation"/>
          <w:rFonts w:cs="Arial"/>
          <w:color w:val="000000" w:themeColor="text1"/>
          <w:sz w:val="20"/>
          <w:szCs w:val="20"/>
          <w:shd w:val="clear" w:color="auto" w:fill="FFFFFF"/>
          <w:lang w:val="en-US"/>
        </w:rPr>
        <w:t xml:space="preserve">cf. </w:t>
      </w:r>
      <w:r>
        <w:rPr>
          <w:rStyle w:val="citation"/>
          <w:rFonts w:cs="Arial"/>
          <w:color w:val="000000" w:themeColor="text1"/>
          <w:sz w:val="20"/>
          <w:szCs w:val="20"/>
          <w:shd w:val="clear" w:color="auto" w:fill="FFFFFF"/>
          <w:lang w:val="en-US"/>
        </w:rPr>
        <w:t>Ibid.,</w:t>
      </w:r>
      <w:r w:rsidRPr="00BA6353">
        <w:rPr>
          <w:rStyle w:val="citation"/>
          <w:rFonts w:cs="Arial"/>
          <w:color w:val="000000" w:themeColor="text1"/>
          <w:sz w:val="20"/>
          <w:szCs w:val="20"/>
          <w:shd w:val="clear" w:color="auto" w:fill="FFFFFF"/>
          <w:lang w:val="en-US"/>
        </w:rPr>
        <w:t xml:space="preserve"> 50: </w:t>
      </w:r>
      <w:r>
        <w:rPr>
          <w:rStyle w:val="citation"/>
          <w:rFonts w:cs="Arial"/>
          <w:color w:val="000000" w:themeColor="text1"/>
          <w:sz w:val="20"/>
          <w:szCs w:val="20"/>
          <w:shd w:val="clear" w:color="auto" w:fill="FFFFFF"/>
          <w:lang w:val="en-US"/>
        </w:rPr>
        <w:t>‘</w:t>
      </w:r>
      <w:r w:rsidRPr="00BA6353">
        <w:rPr>
          <w:rFonts w:cs="Arial"/>
          <w:color w:val="000000" w:themeColor="text1"/>
          <w:sz w:val="20"/>
          <w:szCs w:val="20"/>
          <w:shd w:val="clear" w:color="auto" w:fill="FFFFFF"/>
          <w:lang w:val="en-US"/>
        </w:rPr>
        <w:t xml:space="preserve">To think and to act with an eye on </w:t>
      </w:r>
      <w:r w:rsidRPr="00BA6353">
        <w:rPr>
          <w:rFonts w:cs="Arial"/>
          <w:bCs/>
          <w:color w:val="000000" w:themeColor="text1"/>
          <w:sz w:val="20"/>
          <w:szCs w:val="20"/>
          <w:shd w:val="clear" w:color="auto" w:fill="FFFFFF"/>
          <w:lang w:val="en-US"/>
        </w:rPr>
        <w:t>the coming generation</w:t>
      </w:r>
      <w:r w:rsidRPr="00BA6353">
        <w:rPr>
          <w:rFonts w:cs="Arial"/>
          <w:color w:val="000000" w:themeColor="text1"/>
          <w:sz w:val="20"/>
          <w:szCs w:val="20"/>
          <w:shd w:val="clear" w:color="auto" w:fill="FFFFFF"/>
          <w:lang w:val="en-US"/>
        </w:rPr>
        <w:t xml:space="preserve"> and to be ready to move on without fear and worry—that is the course that has, in practice, been forced upon us. To hold it courageously is not easy but necessary.</w:t>
      </w:r>
      <w:r>
        <w:rPr>
          <w:rFonts w:cs="Arial"/>
          <w:color w:val="000000" w:themeColor="text1"/>
          <w:sz w:val="20"/>
          <w:szCs w:val="20"/>
          <w:shd w:val="clear" w:color="auto" w:fill="FFFFFF"/>
          <w:lang w:val="en-US"/>
        </w:rPr>
        <w:t>’</w:t>
      </w:r>
    </w:p>
  </w:footnote>
  <w:footnote w:id="8">
    <w:p w:rsidR="0028493C" w:rsidRPr="00973AF2" w:rsidRDefault="0028493C" w:rsidP="00F53C96">
      <w:pPr>
        <w:pStyle w:val="Voetnoottekst"/>
        <w:rPr>
          <w:lang w:val="en-US"/>
        </w:rPr>
      </w:pPr>
      <w:r w:rsidRPr="00973AF2">
        <w:rPr>
          <w:rStyle w:val="Voetnootmarkering"/>
        </w:rPr>
        <w:footnoteRef/>
      </w:r>
      <w:r w:rsidRPr="00973AF2">
        <w:rPr>
          <w:lang w:val="en-US"/>
        </w:rPr>
        <w:t xml:space="preserve"> </w:t>
      </w:r>
      <w:r w:rsidRPr="00973AF2">
        <w:rPr>
          <w:rFonts w:cs="Times New Roman"/>
          <w:lang w:val="en-US"/>
        </w:rPr>
        <w:t>In some research results, younger adults score even higher on generative commitment than older adults. (McAdams</w:t>
      </w:r>
      <w:r>
        <w:rPr>
          <w:rFonts w:cs="Times New Roman"/>
          <w:lang w:val="en-US"/>
        </w:rPr>
        <w:t>,</w:t>
      </w:r>
      <w:r w:rsidRPr="00973AF2">
        <w:rPr>
          <w:rFonts w:cs="Times New Roman"/>
          <w:lang w:val="en-US"/>
        </w:rPr>
        <w:t xml:space="preserve"> </w:t>
      </w:r>
      <w:r>
        <w:rPr>
          <w:rFonts w:cs="Times New Roman"/>
          <w:lang w:val="en-US"/>
        </w:rPr>
        <w:t>‘</w:t>
      </w:r>
      <w:r w:rsidRPr="00973AF2">
        <w:rPr>
          <w:lang w:val="en-US"/>
        </w:rPr>
        <w:t xml:space="preserve">Generativity in Midlife’, </w:t>
      </w:r>
      <w:r w:rsidRPr="00973AF2">
        <w:rPr>
          <w:rFonts w:cs="Times New Roman"/>
          <w:lang w:val="en-US"/>
        </w:rPr>
        <w:t>412)</w:t>
      </w:r>
    </w:p>
  </w:footnote>
  <w:footnote w:id="9">
    <w:p w:rsidR="0028493C" w:rsidRPr="00973AF2" w:rsidRDefault="0028493C" w:rsidP="00F53C96">
      <w:pPr>
        <w:rPr>
          <w:sz w:val="20"/>
          <w:szCs w:val="20"/>
          <w:lang w:val="en-US"/>
        </w:rPr>
      </w:pPr>
      <w:r w:rsidRPr="00973AF2">
        <w:rPr>
          <w:rStyle w:val="Voetnootmarkering"/>
          <w:sz w:val="20"/>
          <w:szCs w:val="20"/>
        </w:rPr>
        <w:footnoteRef/>
      </w:r>
      <w:r w:rsidRPr="00973AF2">
        <w:rPr>
          <w:sz w:val="20"/>
          <w:szCs w:val="20"/>
          <w:lang w:val="en-US"/>
        </w:rPr>
        <w:t xml:space="preserve"> </w:t>
      </w:r>
      <w:proofErr w:type="spellStart"/>
      <w:r w:rsidRPr="00973AF2">
        <w:rPr>
          <w:sz w:val="20"/>
          <w:szCs w:val="20"/>
          <w:lang w:val="en-US"/>
        </w:rPr>
        <w:t>Cf</w:t>
      </w:r>
      <w:proofErr w:type="spellEnd"/>
      <w:r w:rsidRPr="00973AF2">
        <w:rPr>
          <w:sz w:val="20"/>
          <w:szCs w:val="20"/>
          <w:lang w:val="en-US"/>
        </w:rPr>
        <w:t xml:space="preserve"> also Dan P. McAdams &amp; Ed de St. Aubin, eds., </w:t>
      </w:r>
      <w:r w:rsidRPr="00973AF2">
        <w:rPr>
          <w:i/>
          <w:iCs/>
          <w:sz w:val="20"/>
          <w:szCs w:val="20"/>
          <w:lang w:val="en-US"/>
        </w:rPr>
        <w:t xml:space="preserve">Generativity and Adult Development: How and Why we Care for the Next Generation </w:t>
      </w:r>
      <w:r w:rsidRPr="00973AF2">
        <w:rPr>
          <w:sz w:val="20"/>
          <w:szCs w:val="20"/>
          <w:lang w:val="en-US"/>
        </w:rPr>
        <w:t>(Washington, DC: American Psychological Association, 1998).</w:t>
      </w:r>
    </w:p>
    <w:p w:rsidR="0028493C" w:rsidRPr="00012BA3" w:rsidRDefault="0028493C" w:rsidP="00F53C96">
      <w:pPr>
        <w:pStyle w:val="Voetnoottekst"/>
        <w:rPr>
          <w:sz w:val="16"/>
          <w:szCs w:val="16"/>
          <w:lang w:val="en-US"/>
        </w:rPr>
      </w:pPr>
    </w:p>
  </w:footnote>
  <w:footnote w:id="10">
    <w:p w:rsidR="0028493C" w:rsidRPr="009E3F7C" w:rsidRDefault="0028493C" w:rsidP="00F53C96">
      <w:pPr>
        <w:pStyle w:val="Voetnoottekst"/>
        <w:rPr>
          <w:lang w:val="en-US"/>
        </w:rPr>
      </w:pPr>
      <w:r w:rsidRPr="009E3F7C">
        <w:rPr>
          <w:rStyle w:val="Voetnootmarkering"/>
        </w:rPr>
        <w:footnoteRef/>
      </w:r>
      <w:r w:rsidRPr="009E3F7C">
        <w:rPr>
          <w:lang w:val="en-US"/>
        </w:rPr>
        <w:t xml:space="preserve"> </w:t>
      </w:r>
      <w:r w:rsidRPr="009E3F7C">
        <w:rPr>
          <w:rFonts w:cs="Times New Roman"/>
          <w:lang w:val="en-US"/>
        </w:rPr>
        <w:t xml:space="preserve">His explicit wish for a child with his fiancée has even been read as the male instrumentalization of Maria for the sake of Dietrich’s desires (Diane Reynolds, </w:t>
      </w:r>
      <w:r w:rsidRPr="009E3F7C">
        <w:rPr>
          <w:i/>
          <w:iCs/>
          <w:lang w:val="en-US"/>
        </w:rPr>
        <w:t>The Doubled Life of Dietrich Bonhoeffer: Women, Sexuality, and Nazi Germany</w:t>
      </w:r>
      <w:r w:rsidRPr="009E3F7C">
        <w:rPr>
          <w:lang w:val="en-US"/>
        </w:rPr>
        <w:t>, Wipf &amp; Stock Publishers: Eugene 2016,</w:t>
      </w:r>
      <w:r>
        <w:rPr>
          <w:lang w:val="en-US"/>
        </w:rPr>
        <w:t xml:space="preserve"> </w:t>
      </w:r>
      <w:r w:rsidRPr="009E3F7C">
        <w:rPr>
          <w:lang w:val="en-US"/>
        </w:rPr>
        <w:t>356).</w:t>
      </w:r>
    </w:p>
  </w:footnote>
  <w:footnote w:id="11">
    <w:p w:rsidR="0028493C" w:rsidRPr="00012BA3" w:rsidRDefault="0028493C" w:rsidP="00F53C96">
      <w:pPr>
        <w:pStyle w:val="Voetnoottekst"/>
        <w:rPr>
          <w:sz w:val="16"/>
          <w:szCs w:val="16"/>
          <w:lang w:val="en-US"/>
        </w:rPr>
      </w:pPr>
      <w:r w:rsidRPr="009E3F7C">
        <w:rPr>
          <w:rStyle w:val="Voetnootmarkering"/>
        </w:rPr>
        <w:footnoteRef/>
      </w:r>
      <w:r w:rsidRPr="009E3F7C">
        <w:rPr>
          <w:lang w:val="en-US"/>
        </w:rPr>
        <w:t xml:space="preserve"> </w:t>
      </w:r>
      <w:r w:rsidRPr="009E3F7C">
        <w:rPr>
          <w:rFonts w:cs="Times New Roman"/>
          <w:lang w:val="en-US"/>
        </w:rPr>
        <w:t>‘</w:t>
      </w:r>
      <w:r w:rsidRPr="009E3F7C">
        <w:rPr>
          <w:rFonts w:cs="Arial"/>
          <w:color w:val="000000" w:themeColor="text1"/>
          <w:shd w:val="clear" w:color="auto" w:fill="FFFFFF"/>
          <w:lang w:val="en-US"/>
        </w:rPr>
        <w:t>I realized you've pushed our family into the </w:t>
      </w:r>
      <w:r w:rsidRPr="009E3F7C">
        <w:rPr>
          <w:rStyle w:val="highlight"/>
          <w:rFonts w:cs="Arial"/>
          <w:color w:val="000000" w:themeColor="text1"/>
          <w:shd w:val="clear" w:color="auto" w:fill="FFFFFF"/>
          <w:lang w:val="en-US"/>
        </w:rPr>
        <w:t>next</w:t>
      </w:r>
      <w:r w:rsidRPr="009E3F7C">
        <w:rPr>
          <w:rFonts w:cs="Arial"/>
          <w:color w:val="000000" w:themeColor="text1"/>
          <w:shd w:val="clear" w:color="auto" w:fill="FFFFFF"/>
          <w:lang w:val="en-US"/>
        </w:rPr>
        <w:t> </w:t>
      </w:r>
      <w:r w:rsidRPr="009E3F7C">
        <w:rPr>
          <w:rStyle w:val="highlight"/>
          <w:rFonts w:cs="Arial"/>
          <w:color w:val="000000" w:themeColor="text1"/>
          <w:shd w:val="clear" w:color="auto" w:fill="FFFFFF"/>
          <w:lang w:val="en-US"/>
        </w:rPr>
        <w:t>generation</w:t>
      </w:r>
      <w:r w:rsidRPr="009E3F7C">
        <w:rPr>
          <w:rFonts w:cs="Arial"/>
          <w:color w:val="000000" w:themeColor="text1"/>
          <w:shd w:val="clear" w:color="auto" w:fill="FFFFFF"/>
          <w:lang w:val="en-US"/>
        </w:rPr>
        <w:t xml:space="preserve">’, he writes to </w:t>
      </w:r>
      <w:proofErr w:type="spellStart"/>
      <w:r w:rsidRPr="009E3F7C">
        <w:rPr>
          <w:rFonts w:cs="Arial"/>
          <w:color w:val="000000" w:themeColor="text1"/>
          <w:shd w:val="clear" w:color="auto" w:fill="FFFFFF"/>
          <w:lang w:val="en-US"/>
        </w:rPr>
        <w:t>Bethge</w:t>
      </w:r>
      <w:proofErr w:type="spellEnd"/>
      <w:r w:rsidRPr="009E3F7C">
        <w:rPr>
          <w:rFonts w:cs="Arial"/>
          <w:color w:val="000000" w:themeColor="text1"/>
          <w:shd w:val="clear" w:color="auto" w:fill="FFFFFF"/>
          <w:lang w:val="en-US"/>
        </w:rPr>
        <w:t xml:space="preserve"> after Renate gave birth to his parents first grandchild. ‘On February 3, great-grandparents, grandparents, great-uncles, great-aunts, and young uncles and aunts were newly created. Look what you've achieved—you promoted me, for example, to [the] third generation!’ (DBWE 4: 290)</w:t>
      </w:r>
      <w:r w:rsidRPr="009E3F7C">
        <w:rPr>
          <w:lang w:val="en-US"/>
        </w:rPr>
        <w:t xml:space="preserve"> Compare his </w:t>
      </w:r>
      <w:r w:rsidRPr="009E3F7C">
        <w:rPr>
          <w:i/>
          <w:iCs/>
          <w:lang w:val="en-US"/>
        </w:rPr>
        <w:t xml:space="preserve">Thoughts on the Day of Baptism of Dietrich Wilhelm </w:t>
      </w:r>
      <w:proofErr w:type="spellStart"/>
      <w:r w:rsidRPr="009E3F7C">
        <w:rPr>
          <w:i/>
          <w:iCs/>
          <w:lang w:val="en-US"/>
        </w:rPr>
        <w:t>Rüdiger</w:t>
      </w:r>
      <w:proofErr w:type="spellEnd"/>
      <w:r w:rsidRPr="009E3F7C">
        <w:rPr>
          <w:i/>
          <w:iCs/>
          <w:lang w:val="en-US"/>
        </w:rPr>
        <w:t xml:space="preserve"> </w:t>
      </w:r>
      <w:proofErr w:type="spellStart"/>
      <w:r w:rsidRPr="009E3F7C">
        <w:rPr>
          <w:i/>
          <w:iCs/>
          <w:lang w:val="en-US"/>
        </w:rPr>
        <w:t>Bethge</w:t>
      </w:r>
      <w:proofErr w:type="spellEnd"/>
      <w:r w:rsidRPr="009E3F7C">
        <w:rPr>
          <w:i/>
          <w:iCs/>
          <w:lang w:val="en-US"/>
        </w:rPr>
        <w:t xml:space="preserve"> </w:t>
      </w:r>
      <w:r w:rsidRPr="009E3F7C">
        <w:rPr>
          <w:lang w:val="en-US"/>
        </w:rPr>
        <w:t xml:space="preserve">of May 1944 where he directly addresses his newborn cousin, the little Dietrich: ‘You are the first of a new generation in our family. Never mind if </w:t>
      </w:r>
      <w:proofErr w:type="spellStart"/>
      <w:r w:rsidRPr="009E3F7C">
        <w:rPr>
          <w:lang w:val="en-US"/>
        </w:rPr>
        <w:t>your</w:t>
      </w:r>
      <w:proofErr w:type="spellEnd"/>
      <w:r w:rsidRPr="009E3F7C">
        <w:rPr>
          <w:lang w:val="en-US"/>
        </w:rPr>
        <w:t xml:space="preserve"> coming confuses us a little about our generational relationships, as we suddenly see ourselves moving earlier than expected into the second, third, and fourth generation. It's clear, nevertheless, that you are the eldest, you lead the procession of the next generation, and you will have the incomparable advantage of sharing a good part of your life with the third and fourth generations before you.’ (DBWE 4: 383)</w:t>
      </w:r>
    </w:p>
  </w:footnote>
  <w:footnote w:id="12">
    <w:p w:rsidR="0028493C" w:rsidRPr="00783432" w:rsidRDefault="0028493C" w:rsidP="00783432">
      <w:pPr>
        <w:rPr>
          <w:rFonts w:eastAsia="Times New Roman" w:cstheme="minorHAnsi"/>
          <w:color w:val="000000" w:themeColor="text1"/>
          <w:sz w:val="20"/>
          <w:szCs w:val="20"/>
          <w:lang w:val="en-US" w:eastAsia="nl-NL"/>
        </w:rPr>
      </w:pPr>
      <w:r w:rsidRPr="00783432">
        <w:rPr>
          <w:rStyle w:val="Voetnootmarkering"/>
          <w:rFonts w:cstheme="minorHAnsi"/>
          <w:color w:val="000000" w:themeColor="text1"/>
          <w:sz w:val="20"/>
          <w:szCs w:val="20"/>
        </w:rPr>
        <w:footnoteRef/>
      </w:r>
      <w:r w:rsidRPr="00783432">
        <w:rPr>
          <w:rFonts w:cstheme="minorHAnsi"/>
          <w:color w:val="000000" w:themeColor="text1"/>
          <w:sz w:val="20"/>
          <w:szCs w:val="20"/>
          <w:lang w:val="en-US"/>
        </w:rPr>
        <w:t xml:space="preserve"> DBW 12:</w:t>
      </w:r>
      <w:r w:rsidRPr="00783432">
        <w:rPr>
          <w:rFonts w:eastAsia="Times New Roman" w:cstheme="minorHAnsi"/>
          <w:color w:val="000000" w:themeColor="text1"/>
          <w:sz w:val="20"/>
          <w:szCs w:val="20"/>
          <w:shd w:val="clear" w:color="auto" w:fill="FFFFFF"/>
          <w:lang w:val="en-US" w:eastAsia="nl-NL"/>
        </w:rPr>
        <w:t xml:space="preserve"> 268-282, 26</w:t>
      </w:r>
      <w:r>
        <w:rPr>
          <w:rFonts w:eastAsia="Times New Roman" w:cstheme="minorHAnsi"/>
          <w:color w:val="000000" w:themeColor="text1"/>
          <w:sz w:val="20"/>
          <w:szCs w:val="20"/>
          <w:shd w:val="clear" w:color="auto" w:fill="FFFFFF"/>
          <w:lang w:val="en-US" w:eastAsia="nl-NL"/>
        </w:rPr>
        <w:t>9</w:t>
      </w:r>
      <w:r w:rsidRPr="00783432">
        <w:rPr>
          <w:rFonts w:eastAsia="Times New Roman" w:cstheme="minorHAnsi"/>
          <w:color w:val="000000" w:themeColor="text1"/>
          <w:sz w:val="20"/>
          <w:szCs w:val="20"/>
          <w:shd w:val="clear" w:color="auto" w:fill="FFFFFF"/>
          <w:lang w:val="en-US" w:eastAsia="nl-NL"/>
        </w:rPr>
        <w:t>.</w:t>
      </w:r>
      <w:r>
        <w:rPr>
          <w:rFonts w:eastAsia="Times New Roman" w:cstheme="minorHAnsi"/>
          <w:color w:val="000000" w:themeColor="text1"/>
          <w:sz w:val="20"/>
          <w:szCs w:val="20"/>
          <w:shd w:val="clear" w:color="auto" w:fill="FFFFFF"/>
          <w:lang w:val="en-US" w:eastAsia="nl-NL"/>
        </w:rPr>
        <w:t xml:space="preserve"> </w:t>
      </w:r>
      <w:r w:rsidRPr="00783432">
        <w:rPr>
          <w:sz w:val="20"/>
          <w:szCs w:val="20"/>
          <w:lang w:val="en-US"/>
        </w:rPr>
        <w:t xml:space="preserve">Compare the definition of the </w:t>
      </w:r>
      <w:r w:rsidRPr="00783432">
        <w:rPr>
          <w:rFonts w:eastAsia="Times New Roman" w:cstheme="minorHAnsi"/>
          <w:sz w:val="20"/>
          <w:szCs w:val="20"/>
          <w:lang w:val="en-US" w:eastAsia="nl-NL" w:bidi="he-IL"/>
        </w:rPr>
        <w:t xml:space="preserve">Cambridge Dictionary: </w:t>
      </w:r>
      <w:r>
        <w:rPr>
          <w:rFonts w:eastAsia="Times New Roman" w:cstheme="minorHAnsi"/>
          <w:sz w:val="20"/>
          <w:szCs w:val="20"/>
          <w:lang w:val="en-US" w:eastAsia="nl-NL" w:bidi="he-IL"/>
        </w:rPr>
        <w:t>‘</w:t>
      </w:r>
      <w:r w:rsidRPr="00783432">
        <w:rPr>
          <w:rFonts w:eastAsia="Times New Roman" w:cstheme="minorHAnsi"/>
          <w:i/>
          <w:iCs/>
          <w:sz w:val="20"/>
          <w:szCs w:val="20"/>
          <w:lang w:val="en-US" w:eastAsia="nl-NL" w:bidi="he-IL"/>
        </w:rPr>
        <w:t>generation</w:t>
      </w:r>
      <w:r w:rsidRPr="00783432">
        <w:rPr>
          <w:rFonts w:eastAsia="Times New Roman" w:cstheme="minorHAnsi"/>
          <w:sz w:val="20"/>
          <w:szCs w:val="20"/>
          <w:lang w:val="en-US" w:eastAsia="nl-NL" w:bidi="he-IL"/>
        </w:rPr>
        <w:t xml:space="preserve">: (1) all the </w:t>
      </w:r>
      <w:hyperlink r:id="rId1" w:tooltip="people" w:history="1">
        <w:r w:rsidRPr="00783432">
          <w:rPr>
            <w:rFonts w:eastAsia="Times New Roman" w:cstheme="minorHAnsi"/>
            <w:sz w:val="20"/>
            <w:szCs w:val="20"/>
            <w:lang w:val="en-US" w:eastAsia="nl-NL" w:bidi="he-IL"/>
          </w:rPr>
          <w:t>people</w:t>
        </w:r>
      </w:hyperlink>
      <w:r w:rsidRPr="00783432">
        <w:rPr>
          <w:rFonts w:eastAsia="Times New Roman" w:cstheme="minorHAnsi"/>
          <w:sz w:val="20"/>
          <w:szCs w:val="20"/>
          <w:lang w:val="en-US" w:eastAsia="nl-NL" w:bidi="he-IL"/>
        </w:rPr>
        <w:t xml:space="preserve"> of about the same </w:t>
      </w:r>
      <w:hyperlink r:id="rId2" w:tooltip="age" w:history="1">
        <w:r w:rsidRPr="00783432">
          <w:rPr>
            <w:rFonts w:eastAsia="Times New Roman" w:cstheme="minorHAnsi"/>
            <w:sz w:val="20"/>
            <w:szCs w:val="20"/>
            <w:lang w:val="en-US" w:eastAsia="nl-NL" w:bidi="he-IL"/>
          </w:rPr>
          <w:t>age</w:t>
        </w:r>
      </w:hyperlink>
      <w:r w:rsidRPr="00783432">
        <w:rPr>
          <w:rFonts w:eastAsia="Times New Roman" w:cstheme="minorHAnsi"/>
          <w:sz w:val="20"/>
          <w:szCs w:val="20"/>
          <w:lang w:val="en-US" w:eastAsia="nl-NL" w:bidi="he-IL"/>
        </w:rPr>
        <w:t xml:space="preserve"> within a </w:t>
      </w:r>
      <w:hyperlink r:id="rId3" w:tooltip="society" w:history="1">
        <w:r w:rsidRPr="00783432">
          <w:rPr>
            <w:rFonts w:eastAsia="Times New Roman" w:cstheme="minorHAnsi"/>
            <w:sz w:val="20"/>
            <w:szCs w:val="20"/>
            <w:lang w:val="en-US" w:eastAsia="nl-NL" w:bidi="he-IL"/>
          </w:rPr>
          <w:t>society</w:t>
        </w:r>
      </w:hyperlink>
      <w:r w:rsidRPr="00783432">
        <w:rPr>
          <w:rFonts w:eastAsia="Times New Roman" w:cstheme="minorHAnsi"/>
          <w:sz w:val="20"/>
          <w:szCs w:val="20"/>
          <w:lang w:val="en-US" w:eastAsia="nl-NL" w:bidi="he-IL"/>
        </w:rPr>
        <w:t xml:space="preserve"> or within a </w:t>
      </w:r>
      <w:hyperlink r:id="rId4" w:tooltip="particular" w:history="1">
        <w:r w:rsidRPr="00783432">
          <w:rPr>
            <w:rFonts w:eastAsia="Times New Roman" w:cstheme="minorHAnsi"/>
            <w:sz w:val="20"/>
            <w:szCs w:val="20"/>
            <w:lang w:val="en-US" w:eastAsia="nl-NL" w:bidi="he-IL"/>
          </w:rPr>
          <w:t>particular</w:t>
        </w:r>
      </w:hyperlink>
      <w:r w:rsidRPr="00783432">
        <w:rPr>
          <w:rFonts w:eastAsia="Times New Roman" w:cstheme="minorHAnsi"/>
          <w:sz w:val="20"/>
          <w:szCs w:val="20"/>
          <w:lang w:val="en-US" w:eastAsia="nl-NL" w:bidi="he-IL"/>
        </w:rPr>
        <w:t xml:space="preserve"> </w:t>
      </w:r>
      <w:hyperlink r:id="rId5" w:tooltip="family" w:history="1">
        <w:r w:rsidRPr="00783432">
          <w:rPr>
            <w:rFonts w:eastAsia="Times New Roman" w:cstheme="minorHAnsi"/>
            <w:sz w:val="20"/>
            <w:szCs w:val="20"/>
            <w:lang w:val="en-US" w:eastAsia="nl-NL" w:bidi="he-IL"/>
          </w:rPr>
          <w:t>family</w:t>
        </w:r>
      </w:hyperlink>
      <w:r w:rsidRPr="00783432">
        <w:rPr>
          <w:rFonts w:eastAsia="Times New Roman" w:cstheme="minorHAnsi"/>
          <w:sz w:val="20"/>
          <w:szCs w:val="20"/>
          <w:lang w:val="en-US" w:eastAsia="nl-NL" w:bidi="he-IL"/>
        </w:rPr>
        <w:t xml:space="preserve">; (2) a </w:t>
      </w:r>
      <w:hyperlink r:id="rId6" w:tooltip="period" w:history="1">
        <w:r w:rsidRPr="00783432">
          <w:rPr>
            <w:rFonts w:eastAsia="Times New Roman" w:cstheme="minorHAnsi"/>
            <w:sz w:val="20"/>
            <w:szCs w:val="20"/>
            <w:lang w:val="en-US" w:eastAsia="nl-NL" w:bidi="he-IL"/>
          </w:rPr>
          <w:t>period</w:t>
        </w:r>
      </w:hyperlink>
      <w:r w:rsidRPr="00783432">
        <w:rPr>
          <w:rFonts w:eastAsia="Times New Roman" w:cstheme="minorHAnsi"/>
          <w:sz w:val="20"/>
          <w:szCs w:val="20"/>
          <w:lang w:val="en-US" w:eastAsia="nl-NL" w:bidi="he-IL"/>
        </w:rPr>
        <w:t xml:space="preserve"> of about 25 to 30 </w:t>
      </w:r>
      <w:hyperlink r:id="rId7" w:tooltip="years" w:history="1">
        <w:r w:rsidRPr="00783432">
          <w:rPr>
            <w:rFonts w:eastAsia="Times New Roman" w:cstheme="minorHAnsi"/>
            <w:sz w:val="20"/>
            <w:szCs w:val="20"/>
            <w:lang w:val="en-US" w:eastAsia="nl-NL" w:bidi="he-IL"/>
          </w:rPr>
          <w:t>years</w:t>
        </w:r>
      </w:hyperlink>
      <w:r w:rsidRPr="00783432">
        <w:rPr>
          <w:rFonts w:eastAsia="Times New Roman" w:cstheme="minorHAnsi"/>
          <w:sz w:val="20"/>
          <w:szCs w:val="20"/>
          <w:lang w:val="en-US" w:eastAsia="nl-NL" w:bidi="he-IL"/>
        </w:rPr>
        <w:t xml:space="preserve">, in which most </w:t>
      </w:r>
      <w:hyperlink r:id="rId8" w:tooltip="human" w:history="1">
        <w:r w:rsidRPr="00783432">
          <w:rPr>
            <w:rFonts w:eastAsia="Times New Roman" w:cstheme="minorHAnsi"/>
            <w:sz w:val="20"/>
            <w:szCs w:val="20"/>
            <w:lang w:val="en-US" w:eastAsia="nl-NL" w:bidi="he-IL"/>
          </w:rPr>
          <w:t>human</w:t>
        </w:r>
      </w:hyperlink>
      <w:r w:rsidRPr="00783432">
        <w:rPr>
          <w:rFonts w:eastAsia="Times New Roman" w:cstheme="minorHAnsi"/>
          <w:sz w:val="20"/>
          <w:szCs w:val="20"/>
          <w:lang w:val="en-US" w:eastAsia="nl-NL" w:bidi="he-IL"/>
        </w:rPr>
        <w:t xml:space="preserve"> </w:t>
      </w:r>
      <w:hyperlink r:id="rId9" w:tooltip="babies" w:history="1">
        <w:r w:rsidRPr="00783432">
          <w:rPr>
            <w:rFonts w:eastAsia="Times New Roman" w:cstheme="minorHAnsi"/>
            <w:sz w:val="20"/>
            <w:szCs w:val="20"/>
            <w:lang w:val="en-US" w:eastAsia="nl-NL" w:bidi="he-IL"/>
          </w:rPr>
          <w:t>babies</w:t>
        </w:r>
      </w:hyperlink>
      <w:r w:rsidRPr="00783432">
        <w:rPr>
          <w:rFonts w:eastAsia="Times New Roman" w:cstheme="minorHAnsi"/>
          <w:sz w:val="20"/>
          <w:szCs w:val="20"/>
          <w:lang w:val="en-US" w:eastAsia="nl-NL" w:bidi="he-IL"/>
        </w:rPr>
        <w:t xml:space="preserve"> </w:t>
      </w:r>
      <w:hyperlink r:id="rId10" w:tooltip="become" w:history="1">
        <w:r w:rsidRPr="00783432">
          <w:rPr>
            <w:rFonts w:eastAsia="Times New Roman" w:cstheme="minorHAnsi"/>
            <w:sz w:val="20"/>
            <w:szCs w:val="20"/>
            <w:lang w:val="en-US" w:eastAsia="nl-NL" w:bidi="he-IL"/>
          </w:rPr>
          <w:t>become</w:t>
        </w:r>
      </w:hyperlink>
      <w:r w:rsidRPr="00783432">
        <w:rPr>
          <w:rFonts w:eastAsia="Times New Roman" w:cstheme="minorHAnsi"/>
          <w:sz w:val="20"/>
          <w:szCs w:val="20"/>
          <w:lang w:val="en-US" w:eastAsia="nl-NL" w:bidi="he-IL"/>
        </w:rPr>
        <w:t xml:space="preserve"> </w:t>
      </w:r>
      <w:hyperlink r:id="rId11" w:tooltip="adults" w:history="1">
        <w:r w:rsidRPr="00783432">
          <w:rPr>
            <w:rFonts w:eastAsia="Times New Roman" w:cstheme="minorHAnsi"/>
            <w:sz w:val="20"/>
            <w:szCs w:val="20"/>
            <w:lang w:val="en-US" w:eastAsia="nl-NL" w:bidi="he-IL"/>
          </w:rPr>
          <w:t>adults</w:t>
        </w:r>
      </w:hyperlink>
      <w:r w:rsidRPr="00783432">
        <w:rPr>
          <w:rFonts w:eastAsia="Times New Roman" w:cstheme="minorHAnsi"/>
          <w:sz w:val="20"/>
          <w:szCs w:val="20"/>
          <w:lang w:val="en-US" w:eastAsia="nl-NL" w:bidi="he-IL"/>
        </w:rPr>
        <w:t xml:space="preserve"> and have </w:t>
      </w:r>
      <w:hyperlink r:id="rId12" w:tooltip="their" w:history="1">
        <w:r w:rsidRPr="00783432">
          <w:rPr>
            <w:rFonts w:eastAsia="Times New Roman" w:cstheme="minorHAnsi"/>
            <w:sz w:val="20"/>
            <w:szCs w:val="20"/>
            <w:lang w:val="en-US" w:eastAsia="nl-NL" w:bidi="he-IL"/>
          </w:rPr>
          <w:t>their</w:t>
        </w:r>
      </w:hyperlink>
      <w:r w:rsidRPr="00783432">
        <w:rPr>
          <w:rFonts w:eastAsia="Times New Roman" w:cstheme="minorHAnsi"/>
          <w:sz w:val="20"/>
          <w:szCs w:val="20"/>
          <w:lang w:val="en-US" w:eastAsia="nl-NL" w:bidi="he-IL"/>
        </w:rPr>
        <w:t xml:space="preserve"> own </w:t>
      </w:r>
      <w:hyperlink r:id="rId13" w:tooltip="children" w:history="1">
        <w:r w:rsidRPr="00783432">
          <w:rPr>
            <w:rFonts w:eastAsia="Times New Roman" w:cstheme="minorHAnsi"/>
            <w:sz w:val="20"/>
            <w:szCs w:val="20"/>
            <w:lang w:val="en-US" w:eastAsia="nl-NL" w:bidi="he-IL"/>
          </w:rPr>
          <w:t>children</w:t>
        </w:r>
      </w:hyperlink>
      <w:r w:rsidRPr="00783432">
        <w:rPr>
          <w:rFonts w:eastAsia="Times New Roman" w:cstheme="minorHAnsi"/>
          <w:sz w:val="20"/>
          <w:szCs w:val="20"/>
          <w:lang w:val="en-US" w:eastAsia="nl-NL" w:bidi="he-IL"/>
        </w:rPr>
        <w:t>.</w:t>
      </w:r>
      <w:r>
        <w:rPr>
          <w:rFonts w:eastAsia="Times New Roman" w:cstheme="minorHAnsi"/>
          <w:sz w:val="20"/>
          <w:szCs w:val="20"/>
          <w:lang w:val="en-US" w:eastAsia="nl-NL" w:bidi="he-IL"/>
        </w:rPr>
        <w:t>’</w:t>
      </w:r>
      <w:r w:rsidRPr="00783432">
        <w:rPr>
          <w:rFonts w:eastAsia="Times New Roman" w:cstheme="minorHAnsi"/>
          <w:sz w:val="20"/>
          <w:szCs w:val="20"/>
          <w:lang w:val="en-US" w:eastAsia="nl-NL" w:bidi="he-IL"/>
        </w:rPr>
        <w:t xml:space="preserve"> </w:t>
      </w:r>
    </w:p>
  </w:footnote>
  <w:footnote w:id="13">
    <w:p w:rsidR="0028493C" w:rsidRPr="00783432" w:rsidRDefault="0028493C" w:rsidP="00783432">
      <w:pPr>
        <w:rPr>
          <w:rFonts w:eastAsia="Times New Roman" w:cs="Arial"/>
          <w:color w:val="000000" w:themeColor="text1"/>
          <w:sz w:val="20"/>
          <w:szCs w:val="20"/>
          <w:shd w:val="clear" w:color="auto" w:fill="FFFFFF"/>
          <w:lang w:val="en-US" w:eastAsia="nl-NL"/>
        </w:rPr>
      </w:pPr>
      <w:r w:rsidRPr="00783432">
        <w:rPr>
          <w:rStyle w:val="Voetnootmarkering"/>
          <w:color w:val="000000" w:themeColor="text1"/>
          <w:sz w:val="20"/>
          <w:szCs w:val="20"/>
        </w:rPr>
        <w:footnoteRef/>
      </w:r>
      <w:r w:rsidRPr="00783432">
        <w:rPr>
          <w:color w:val="000000" w:themeColor="text1"/>
          <w:sz w:val="20"/>
          <w:szCs w:val="20"/>
          <w:lang w:val="en-US"/>
        </w:rPr>
        <w:t xml:space="preserve"> </w:t>
      </w:r>
      <w:r w:rsidRPr="00783432">
        <w:rPr>
          <w:rFonts w:eastAsia="Times New Roman" w:cs="Arial"/>
          <w:color w:val="000000" w:themeColor="text1"/>
          <w:sz w:val="20"/>
          <w:szCs w:val="20"/>
          <w:shd w:val="clear" w:color="auto" w:fill="FFFFFF"/>
          <w:lang w:val="en-US" w:eastAsia="nl-NL"/>
        </w:rPr>
        <w:t xml:space="preserve">Cf. in the same vein the Wedding Sermon from the Prison Cell (DBWE 8: 83 (May 15, 1943)): ‘In your love you see only each other in the world; in marriage you are a link in the chain of generations that God, for the sake of God's glory, allows to rise and fade away, and calls into God's kingdom.’ </w:t>
      </w:r>
    </w:p>
  </w:footnote>
  <w:footnote w:id="14">
    <w:p w:rsidR="0028493C" w:rsidRPr="00783432" w:rsidRDefault="0028493C">
      <w:pPr>
        <w:pStyle w:val="Voetnoottekst"/>
        <w:rPr>
          <w:lang w:val="en-US"/>
        </w:rPr>
      </w:pPr>
      <w:r>
        <w:rPr>
          <w:rStyle w:val="Voetnootmarkering"/>
        </w:rPr>
        <w:footnoteRef/>
      </w:r>
      <w:r w:rsidRPr="00783432">
        <w:rPr>
          <w:lang w:val="en-US"/>
        </w:rPr>
        <w:t xml:space="preserve"> </w:t>
      </w:r>
      <w:r w:rsidRPr="00F53C96">
        <w:rPr>
          <w:rFonts w:cstheme="minorHAnsi"/>
          <w:lang w:val="en-US"/>
        </w:rPr>
        <w:t xml:space="preserve">McAdams, </w:t>
      </w:r>
      <w:r>
        <w:rPr>
          <w:rFonts w:cstheme="minorHAnsi"/>
          <w:lang w:val="en-US"/>
        </w:rPr>
        <w:t>‘</w:t>
      </w:r>
      <w:r w:rsidRPr="00F53C96">
        <w:rPr>
          <w:rFonts w:cstheme="minorHAnsi"/>
          <w:lang w:val="en-US"/>
        </w:rPr>
        <w:t>Generativity in Midlife</w:t>
      </w:r>
      <w:r>
        <w:rPr>
          <w:rFonts w:cstheme="minorHAnsi"/>
          <w:lang w:val="en-US"/>
        </w:rPr>
        <w:t>’</w:t>
      </w:r>
      <w:r w:rsidRPr="00F53C96">
        <w:rPr>
          <w:rFonts w:cstheme="minorHAnsi"/>
          <w:lang w:val="en-US"/>
        </w:rPr>
        <w:t>, 429</w:t>
      </w:r>
      <w:r>
        <w:rPr>
          <w:rFonts w:cstheme="minorHAnsi"/>
          <w:lang w:val="en-US"/>
        </w:rPr>
        <w:t>.</w:t>
      </w:r>
    </w:p>
  </w:footnote>
  <w:footnote w:id="15">
    <w:p w:rsidR="0028493C" w:rsidRPr="00783432" w:rsidRDefault="0028493C">
      <w:pPr>
        <w:pStyle w:val="Voetnoottekst"/>
        <w:rPr>
          <w:lang w:val="en-US"/>
        </w:rPr>
      </w:pPr>
      <w:r>
        <w:rPr>
          <w:rStyle w:val="Voetnootmarkering"/>
        </w:rPr>
        <w:footnoteRef/>
      </w:r>
      <w:r w:rsidRPr="00783432">
        <w:rPr>
          <w:lang w:val="en-US"/>
        </w:rPr>
        <w:t xml:space="preserve"> </w:t>
      </w:r>
      <w:r>
        <w:rPr>
          <w:rFonts w:cstheme="minorHAnsi"/>
          <w:lang w:val="en-US"/>
        </w:rPr>
        <w:t>McAdams, ’</w:t>
      </w:r>
      <w:r w:rsidRPr="00F53C96">
        <w:rPr>
          <w:rFonts w:cstheme="minorHAnsi"/>
          <w:lang w:val="en-US"/>
        </w:rPr>
        <w:t>Generativity in Midlife</w:t>
      </w:r>
      <w:r>
        <w:rPr>
          <w:rFonts w:cstheme="minorHAnsi"/>
          <w:lang w:val="en-US"/>
        </w:rPr>
        <w:t>’</w:t>
      </w:r>
      <w:r w:rsidRPr="00F53C96">
        <w:rPr>
          <w:rFonts w:cstheme="minorHAnsi"/>
          <w:lang w:val="en-US"/>
        </w:rPr>
        <w:t>, 405 – 408</w:t>
      </w:r>
      <w:r>
        <w:rPr>
          <w:rFonts w:cstheme="minorHAnsi"/>
          <w:lang w:val="en-US"/>
        </w:rPr>
        <w:t>.</w:t>
      </w:r>
    </w:p>
  </w:footnote>
  <w:footnote w:id="16">
    <w:p w:rsidR="0028493C" w:rsidRPr="00703689" w:rsidRDefault="0028493C">
      <w:pPr>
        <w:pStyle w:val="Voetnoottekst"/>
        <w:rPr>
          <w:lang w:val="en-US"/>
        </w:rPr>
      </w:pPr>
      <w:r>
        <w:rPr>
          <w:rStyle w:val="Voetnootmarkering"/>
        </w:rPr>
        <w:footnoteRef/>
      </w:r>
      <w:r w:rsidRPr="00703689">
        <w:rPr>
          <w:lang w:val="en-US"/>
        </w:rPr>
        <w:t xml:space="preserve"> </w:t>
      </w:r>
      <w:r>
        <w:rPr>
          <w:lang w:val="en-US"/>
        </w:rPr>
        <w:t>Ibid., 429.</w:t>
      </w:r>
    </w:p>
  </w:footnote>
  <w:footnote w:id="17">
    <w:p w:rsidR="0028493C" w:rsidRPr="00703689" w:rsidRDefault="0028493C">
      <w:pPr>
        <w:pStyle w:val="Voetnoottekst"/>
        <w:rPr>
          <w:lang w:val="en-US"/>
        </w:rPr>
      </w:pPr>
      <w:r>
        <w:rPr>
          <w:rStyle w:val="Voetnootmarkering"/>
        </w:rPr>
        <w:footnoteRef/>
      </w:r>
      <w:r w:rsidRPr="00703689">
        <w:rPr>
          <w:lang w:val="en-US"/>
        </w:rPr>
        <w:t xml:space="preserve"> </w:t>
      </w:r>
      <w:r w:rsidRPr="00F53C96">
        <w:rPr>
          <w:rFonts w:cstheme="minorHAnsi"/>
          <w:lang w:val="en-US"/>
        </w:rPr>
        <w:t xml:space="preserve">Erikson, </w:t>
      </w:r>
      <w:r w:rsidRPr="00703689">
        <w:rPr>
          <w:rFonts w:cstheme="minorHAnsi"/>
          <w:i/>
          <w:iCs/>
          <w:lang w:val="en-US"/>
        </w:rPr>
        <w:t>Childhood and Society</w:t>
      </w:r>
      <w:r>
        <w:rPr>
          <w:rFonts w:cstheme="minorHAnsi"/>
          <w:lang w:val="en-US"/>
        </w:rPr>
        <w:t xml:space="preserve">, </w:t>
      </w:r>
      <w:r w:rsidRPr="00F53C96">
        <w:rPr>
          <w:rFonts w:cstheme="minorHAnsi"/>
          <w:lang w:val="en-US"/>
        </w:rPr>
        <w:t>267</w:t>
      </w:r>
      <w:r>
        <w:rPr>
          <w:rFonts w:cstheme="minorHAnsi"/>
          <w:lang w:val="en-US"/>
        </w:rPr>
        <w:t>.</w:t>
      </w:r>
    </w:p>
  </w:footnote>
  <w:footnote w:id="18">
    <w:p w:rsidR="0028493C" w:rsidRPr="00641C6C" w:rsidRDefault="0028493C">
      <w:pPr>
        <w:pStyle w:val="Voetnoottekst"/>
        <w:rPr>
          <w:lang w:val="en-US"/>
        </w:rPr>
      </w:pPr>
      <w:r>
        <w:rPr>
          <w:rStyle w:val="Voetnootmarkering"/>
        </w:rPr>
        <w:footnoteRef/>
      </w:r>
      <w:r w:rsidRPr="00641C6C">
        <w:rPr>
          <w:lang w:val="en-US"/>
        </w:rPr>
        <w:t xml:space="preserve"> </w:t>
      </w:r>
      <w:r w:rsidRPr="00F53C96">
        <w:rPr>
          <w:rFonts w:cstheme="minorHAnsi"/>
          <w:lang w:val="en-US"/>
        </w:rPr>
        <w:t>McAdams</w:t>
      </w:r>
      <w:r>
        <w:rPr>
          <w:rFonts w:cstheme="minorHAnsi"/>
          <w:lang w:val="en-US"/>
        </w:rPr>
        <w:t>,</w:t>
      </w:r>
      <w:r w:rsidRPr="00F53C96">
        <w:rPr>
          <w:rFonts w:cstheme="minorHAnsi"/>
          <w:lang w:val="en-US"/>
        </w:rPr>
        <w:t xml:space="preserve"> </w:t>
      </w:r>
      <w:r>
        <w:rPr>
          <w:rFonts w:cstheme="minorHAnsi"/>
          <w:lang w:val="en-US"/>
        </w:rPr>
        <w:t>’</w:t>
      </w:r>
      <w:r w:rsidRPr="00F53C96">
        <w:rPr>
          <w:rFonts w:cstheme="minorHAnsi"/>
          <w:lang w:val="en-US"/>
        </w:rPr>
        <w:t>Generativity in Midlife</w:t>
      </w:r>
      <w:r>
        <w:rPr>
          <w:rFonts w:cstheme="minorHAnsi"/>
          <w:lang w:val="en-US"/>
        </w:rPr>
        <w:t xml:space="preserve">’, </w:t>
      </w:r>
      <w:r w:rsidRPr="00F53C96">
        <w:rPr>
          <w:rFonts w:cstheme="minorHAnsi"/>
          <w:lang w:val="en-US"/>
        </w:rPr>
        <w:t>431.</w:t>
      </w:r>
    </w:p>
  </w:footnote>
  <w:footnote w:id="19">
    <w:p w:rsidR="0028493C" w:rsidRPr="001564F0" w:rsidRDefault="0028493C" w:rsidP="00F53C96">
      <w:pPr>
        <w:autoSpaceDE w:val="0"/>
        <w:autoSpaceDN w:val="0"/>
        <w:adjustRightInd w:val="0"/>
        <w:rPr>
          <w:rFonts w:cstheme="minorHAnsi"/>
          <w:color w:val="000000" w:themeColor="text1"/>
          <w:sz w:val="20"/>
          <w:szCs w:val="20"/>
          <w:lang w:val="en-US"/>
        </w:rPr>
      </w:pPr>
      <w:r w:rsidRPr="001564F0">
        <w:rPr>
          <w:rStyle w:val="Voetnootmarkering"/>
          <w:color w:val="000000" w:themeColor="text1"/>
          <w:sz w:val="20"/>
          <w:szCs w:val="20"/>
        </w:rPr>
        <w:footnoteRef/>
      </w:r>
      <w:r>
        <w:rPr>
          <w:rFonts w:cs="Times New Roman"/>
          <w:color w:val="000000" w:themeColor="text1"/>
          <w:sz w:val="20"/>
          <w:szCs w:val="20"/>
          <w:lang w:val="en-US"/>
        </w:rPr>
        <w:t xml:space="preserve"> </w:t>
      </w:r>
      <w:r w:rsidRPr="00723864">
        <w:rPr>
          <w:rFonts w:cs="Times New Roman"/>
          <w:color w:val="000000" w:themeColor="text1"/>
          <w:sz w:val="20"/>
          <w:szCs w:val="20"/>
          <w:lang w:val="en-US"/>
        </w:rPr>
        <w:t xml:space="preserve">Cf. </w:t>
      </w:r>
      <w:r w:rsidRPr="00723864">
        <w:rPr>
          <w:rFonts w:cstheme="minorHAnsi"/>
          <w:sz w:val="20"/>
          <w:szCs w:val="20"/>
          <w:lang w:val="en-US"/>
        </w:rPr>
        <w:t>McAdams</w:t>
      </w:r>
      <w:r>
        <w:rPr>
          <w:rFonts w:cstheme="minorHAnsi"/>
          <w:sz w:val="20"/>
          <w:szCs w:val="20"/>
          <w:lang w:val="en-US"/>
        </w:rPr>
        <w:t>,</w:t>
      </w:r>
      <w:r w:rsidRPr="00723864">
        <w:rPr>
          <w:rFonts w:cstheme="minorHAnsi"/>
          <w:sz w:val="20"/>
          <w:szCs w:val="20"/>
          <w:lang w:val="en-US"/>
        </w:rPr>
        <w:t xml:space="preserve"> ’Generativity in Midlife’,</w:t>
      </w:r>
      <w:r>
        <w:rPr>
          <w:rFonts w:cstheme="minorHAnsi"/>
          <w:lang w:val="en-US"/>
        </w:rPr>
        <w:t xml:space="preserve"> </w:t>
      </w:r>
      <w:r w:rsidRPr="001564F0">
        <w:rPr>
          <w:rFonts w:cs="Times New Roman"/>
          <w:color w:val="000000" w:themeColor="text1"/>
          <w:sz w:val="20"/>
          <w:szCs w:val="20"/>
          <w:lang w:val="en-US"/>
        </w:rPr>
        <w:t>430</w:t>
      </w:r>
      <w:r>
        <w:rPr>
          <w:rFonts w:cs="Times New Roman"/>
          <w:color w:val="000000" w:themeColor="text1"/>
          <w:sz w:val="20"/>
          <w:szCs w:val="20"/>
          <w:lang w:val="en-US"/>
        </w:rPr>
        <w:t>: ‘</w:t>
      </w:r>
      <w:r w:rsidRPr="001564F0">
        <w:rPr>
          <w:rFonts w:cs="Times New Roman"/>
          <w:color w:val="000000" w:themeColor="text1"/>
          <w:sz w:val="20"/>
          <w:szCs w:val="20"/>
          <w:lang w:val="en-US"/>
        </w:rPr>
        <w:t>Adult life is full of mistakes, frustrations, and missed opportunities for most people; yet the promise of a new generation is that those same mistakes will not be made again, that frustrations will pass, and new opportunities will be grasped and fulfilled in the generation to come (…) The discourse on generativity, therefore, is filled with stories about people suffering and making sacrifices in order that the future will be good.</w:t>
      </w:r>
      <w:r>
        <w:rPr>
          <w:rFonts w:cs="Times New Roman"/>
          <w:color w:val="000000" w:themeColor="text1"/>
          <w:sz w:val="20"/>
          <w:szCs w:val="20"/>
          <w:lang w:val="en-US"/>
        </w:rPr>
        <w:t>’</w:t>
      </w:r>
    </w:p>
    <w:p w:rsidR="0028493C" w:rsidRPr="00521FE1" w:rsidRDefault="0028493C" w:rsidP="00F53C96">
      <w:pPr>
        <w:pStyle w:val="Voetnoottekst"/>
        <w:rPr>
          <w:lang w:val="en-US"/>
        </w:rPr>
      </w:pPr>
    </w:p>
  </w:footnote>
  <w:footnote w:id="20">
    <w:p w:rsidR="0028493C" w:rsidRPr="001F0A76" w:rsidRDefault="0028493C">
      <w:pPr>
        <w:pStyle w:val="Voetnoottekst"/>
        <w:rPr>
          <w:lang w:val="en-US"/>
        </w:rPr>
      </w:pPr>
      <w:r>
        <w:rPr>
          <w:rStyle w:val="Voetnootmarkering"/>
        </w:rPr>
        <w:footnoteRef/>
      </w:r>
      <w:r w:rsidRPr="001F0A76">
        <w:rPr>
          <w:lang w:val="en-US"/>
        </w:rPr>
        <w:t xml:space="preserve"> Cf. Also earlier in the same chapter, </w:t>
      </w:r>
      <w:r w:rsidRPr="001F0A76">
        <w:rPr>
          <w:i/>
          <w:iCs/>
          <w:lang w:val="en-US"/>
        </w:rPr>
        <w:t>History and Good</w:t>
      </w:r>
      <w:r w:rsidRPr="001F0A76">
        <w:rPr>
          <w:lang w:val="en-US"/>
        </w:rPr>
        <w:t>, DBWE 4: 221</w:t>
      </w:r>
      <w:r>
        <w:rPr>
          <w:lang w:val="en-US"/>
        </w:rPr>
        <w:t xml:space="preserve">, where Bonhoeffer deletes  ‘the mayor, the politician’ in his manuscript [ibid., note 9] and concentrates on ‘the father of a family’ who ‘incorporates the selves of those family members for whom he is responsible.’ </w:t>
      </w:r>
    </w:p>
  </w:footnote>
  <w:footnote w:id="21">
    <w:p w:rsidR="0028493C" w:rsidRPr="00CA6253" w:rsidRDefault="0028493C" w:rsidP="00CA6253">
      <w:pPr>
        <w:rPr>
          <w:rFonts w:cstheme="minorHAnsi"/>
          <w:color w:val="000000" w:themeColor="text1"/>
          <w:sz w:val="20"/>
          <w:szCs w:val="20"/>
          <w:lang w:val="en-US"/>
        </w:rPr>
      </w:pPr>
      <w:r w:rsidRPr="004A3AA5">
        <w:rPr>
          <w:rStyle w:val="Voetnootmarkering"/>
          <w:sz w:val="20"/>
          <w:szCs w:val="20"/>
        </w:rPr>
        <w:footnoteRef/>
      </w:r>
      <w:r w:rsidRPr="003819D9">
        <w:rPr>
          <w:sz w:val="20"/>
          <w:szCs w:val="20"/>
          <w:lang w:val="en-US"/>
        </w:rPr>
        <w:t xml:space="preserve"> </w:t>
      </w:r>
      <w:r w:rsidRPr="003819D9">
        <w:rPr>
          <w:rFonts w:cstheme="minorHAnsi"/>
          <w:color w:val="000000" w:themeColor="text1"/>
          <w:sz w:val="20"/>
          <w:szCs w:val="20"/>
          <w:lang w:val="en-US"/>
        </w:rPr>
        <w:t xml:space="preserve">DBWE 4: 372-76, 391-2, 396-97. Cf. </w:t>
      </w:r>
      <w:r>
        <w:rPr>
          <w:rFonts w:cstheme="minorHAnsi"/>
          <w:color w:val="000000" w:themeColor="text1"/>
          <w:sz w:val="20"/>
          <w:szCs w:val="20"/>
          <w:lang w:val="en-US"/>
        </w:rPr>
        <w:t xml:space="preserve">already </w:t>
      </w:r>
      <w:r w:rsidRPr="003819D9">
        <w:rPr>
          <w:rFonts w:cstheme="minorHAnsi"/>
          <w:color w:val="000000" w:themeColor="text1"/>
          <w:sz w:val="20"/>
          <w:szCs w:val="20"/>
          <w:lang w:val="en-US"/>
        </w:rPr>
        <w:t>Karl Barth</w:t>
      </w:r>
      <w:r>
        <w:rPr>
          <w:rFonts w:cstheme="minorHAnsi"/>
          <w:color w:val="000000" w:themeColor="text1"/>
          <w:sz w:val="20"/>
          <w:szCs w:val="20"/>
          <w:lang w:val="en-US"/>
        </w:rPr>
        <w:t>’s observation that in Bonhoeffer’s doctrine of the mandates ‘one cannot entirely shake that little taste of North German patriarchalism.’ (</w:t>
      </w:r>
      <w:r w:rsidRPr="00866DA7">
        <w:rPr>
          <w:rFonts w:cstheme="minorHAnsi"/>
          <w:i/>
          <w:iCs/>
          <w:color w:val="000000" w:themeColor="text1"/>
          <w:sz w:val="20"/>
          <w:szCs w:val="20"/>
          <w:lang w:val="en-US"/>
        </w:rPr>
        <w:t xml:space="preserve">Church </w:t>
      </w:r>
      <w:proofErr w:type="spellStart"/>
      <w:r w:rsidRPr="00866DA7">
        <w:rPr>
          <w:rFonts w:cstheme="minorHAnsi"/>
          <w:i/>
          <w:iCs/>
          <w:color w:val="000000" w:themeColor="text1"/>
          <w:sz w:val="20"/>
          <w:szCs w:val="20"/>
          <w:lang w:val="en-US"/>
        </w:rPr>
        <w:t>Dogmatics</w:t>
      </w:r>
      <w:proofErr w:type="spellEnd"/>
      <w:r>
        <w:rPr>
          <w:rFonts w:cstheme="minorHAnsi"/>
          <w:color w:val="000000" w:themeColor="text1"/>
          <w:sz w:val="20"/>
          <w:szCs w:val="20"/>
          <w:lang w:val="en-US"/>
        </w:rPr>
        <w:t xml:space="preserve"> III/ 4, 22).</w:t>
      </w:r>
    </w:p>
  </w:footnote>
  <w:footnote w:id="22">
    <w:p w:rsidR="0028493C" w:rsidRPr="009E3F7C" w:rsidRDefault="0028493C">
      <w:pPr>
        <w:pStyle w:val="Voetnoottekst"/>
        <w:rPr>
          <w:lang w:val="en-US"/>
        </w:rPr>
      </w:pPr>
      <w:r>
        <w:rPr>
          <w:rStyle w:val="Voetnootmarkering"/>
        </w:rPr>
        <w:footnoteRef/>
      </w:r>
      <w:r w:rsidRPr="009E3F7C">
        <w:rPr>
          <w:lang w:val="en-US"/>
        </w:rPr>
        <w:t xml:space="preserve"> Cf.</w:t>
      </w:r>
      <w:r>
        <w:rPr>
          <w:lang w:val="en-US"/>
        </w:rPr>
        <w:t xml:space="preserve"> </w:t>
      </w:r>
      <w:r w:rsidRPr="009E3F7C">
        <w:rPr>
          <w:lang w:val="en-US"/>
        </w:rPr>
        <w:t xml:space="preserve">Robert Bly, </w:t>
      </w:r>
      <w:r w:rsidRPr="009E3F7C">
        <w:rPr>
          <w:i/>
          <w:iCs/>
          <w:lang w:val="en-US"/>
        </w:rPr>
        <w:t>The Sibling Society</w:t>
      </w:r>
      <w:r>
        <w:rPr>
          <w:lang w:val="en-US"/>
        </w:rPr>
        <w:t xml:space="preserve"> (New York: Vintage Books 1996), who argues that in Western egalitarian culture even the relationships between generations have become horizontal and parents and children relate as peers.</w:t>
      </w:r>
    </w:p>
  </w:footnote>
  <w:footnote w:id="23">
    <w:p w:rsidR="0028493C" w:rsidRDefault="0028493C" w:rsidP="0028493C">
      <w:pPr>
        <w:rPr>
          <w:rFonts w:cstheme="minorHAnsi"/>
          <w:color w:val="000000" w:themeColor="text1"/>
          <w:sz w:val="20"/>
          <w:szCs w:val="20"/>
          <w:lang w:val="en-US"/>
        </w:rPr>
      </w:pPr>
      <w:r w:rsidRPr="00202181">
        <w:rPr>
          <w:rStyle w:val="Voetnootmarkering"/>
          <w:sz w:val="20"/>
          <w:szCs w:val="20"/>
        </w:rPr>
        <w:footnoteRef/>
      </w:r>
      <w:r w:rsidRPr="00202181">
        <w:rPr>
          <w:sz w:val="20"/>
          <w:szCs w:val="20"/>
        </w:rPr>
        <w:t xml:space="preserve"> </w:t>
      </w:r>
      <w:r>
        <w:rPr>
          <w:sz w:val="20"/>
          <w:szCs w:val="20"/>
        </w:rPr>
        <w:t xml:space="preserve">As I </w:t>
      </w:r>
      <w:proofErr w:type="spellStart"/>
      <w:r>
        <w:rPr>
          <w:sz w:val="20"/>
          <w:szCs w:val="20"/>
        </w:rPr>
        <w:t>tried</w:t>
      </w:r>
      <w:proofErr w:type="spellEnd"/>
      <w:r>
        <w:rPr>
          <w:sz w:val="20"/>
          <w:szCs w:val="20"/>
        </w:rPr>
        <w:t xml:space="preserve"> </w:t>
      </w:r>
      <w:proofErr w:type="spellStart"/>
      <w:r>
        <w:rPr>
          <w:sz w:val="20"/>
          <w:szCs w:val="20"/>
        </w:rPr>
        <w:t>to</w:t>
      </w:r>
      <w:proofErr w:type="spellEnd"/>
      <w:r>
        <w:rPr>
          <w:sz w:val="20"/>
          <w:szCs w:val="20"/>
        </w:rPr>
        <w:t xml:space="preserve"> do in </w:t>
      </w:r>
      <w:proofErr w:type="spellStart"/>
      <w:r w:rsidRPr="00202181">
        <w:rPr>
          <w:sz w:val="20"/>
          <w:szCs w:val="20"/>
        </w:rPr>
        <w:t>my</w:t>
      </w:r>
      <w:proofErr w:type="spellEnd"/>
      <w:r w:rsidRPr="00202181">
        <w:rPr>
          <w:sz w:val="20"/>
          <w:szCs w:val="20"/>
        </w:rPr>
        <w:t xml:space="preserve"> </w:t>
      </w:r>
      <w:proofErr w:type="spellStart"/>
      <w:r w:rsidRPr="00202181">
        <w:rPr>
          <w:sz w:val="20"/>
          <w:szCs w:val="20"/>
        </w:rPr>
        <w:t>dissertation</w:t>
      </w:r>
      <w:proofErr w:type="spellEnd"/>
      <w:r w:rsidRPr="00202181">
        <w:rPr>
          <w:sz w:val="20"/>
          <w:szCs w:val="20"/>
        </w:rPr>
        <w:t xml:space="preserve"> </w:t>
      </w:r>
      <w:r w:rsidRPr="00202181">
        <w:rPr>
          <w:i/>
          <w:iCs/>
          <w:sz w:val="20"/>
          <w:szCs w:val="20"/>
        </w:rPr>
        <w:t>Grond onder de voeten: Burgerlijkheid bij Dietrich Bonhoeffer</w:t>
      </w:r>
      <w:r w:rsidRPr="00202181">
        <w:rPr>
          <w:sz w:val="20"/>
          <w:szCs w:val="20"/>
        </w:rPr>
        <w:t xml:space="preserve"> (Kampen</w:t>
      </w:r>
      <w:r>
        <w:rPr>
          <w:sz w:val="20"/>
          <w:szCs w:val="20"/>
        </w:rPr>
        <w:t xml:space="preserve">: </w:t>
      </w:r>
      <w:r w:rsidRPr="00202181">
        <w:rPr>
          <w:sz w:val="20"/>
          <w:szCs w:val="20"/>
        </w:rPr>
        <w:t>van den Berg 1985), 118-9.</w:t>
      </w:r>
      <w:r w:rsidRPr="00202181">
        <w:rPr>
          <w:rFonts w:cstheme="minorHAnsi"/>
          <w:color w:val="000000" w:themeColor="text1"/>
          <w:sz w:val="20"/>
          <w:szCs w:val="20"/>
        </w:rPr>
        <w:t xml:space="preserve"> </w:t>
      </w:r>
      <w:r w:rsidRPr="00202181">
        <w:rPr>
          <w:rFonts w:cstheme="minorHAnsi"/>
          <w:color w:val="000000" w:themeColor="text1"/>
          <w:sz w:val="20"/>
          <w:szCs w:val="20"/>
          <w:lang w:val="en-US"/>
        </w:rPr>
        <w:t xml:space="preserve">Vicarious representation continues to be a </w:t>
      </w:r>
      <w:r>
        <w:rPr>
          <w:rFonts w:cstheme="minorHAnsi"/>
          <w:color w:val="000000" w:themeColor="text1"/>
          <w:sz w:val="20"/>
          <w:szCs w:val="20"/>
          <w:lang w:val="en-US"/>
        </w:rPr>
        <w:t>recurring</w:t>
      </w:r>
      <w:r w:rsidRPr="00202181">
        <w:rPr>
          <w:rFonts w:cstheme="minorHAnsi"/>
          <w:color w:val="000000" w:themeColor="text1"/>
          <w:sz w:val="20"/>
          <w:szCs w:val="20"/>
          <w:lang w:val="en-US"/>
        </w:rPr>
        <w:t xml:space="preserve"> element in Bonhoeffer’s </w:t>
      </w:r>
      <w:r>
        <w:rPr>
          <w:rFonts w:cstheme="minorHAnsi"/>
          <w:color w:val="000000" w:themeColor="text1"/>
          <w:sz w:val="20"/>
          <w:szCs w:val="20"/>
          <w:lang w:val="en-US"/>
        </w:rPr>
        <w:t>thinking, also outside an ecclesiological framework</w:t>
      </w:r>
      <w:r w:rsidRPr="00BC44EA">
        <w:rPr>
          <w:rFonts w:cstheme="minorHAnsi"/>
          <w:color w:val="000000" w:themeColor="text1"/>
          <w:sz w:val="20"/>
          <w:szCs w:val="20"/>
          <w:lang w:val="en-US"/>
        </w:rPr>
        <w:t xml:space="preserve">. It returns </w:t>
      </w:r>
      <w:proofErr w:type="spellStart"/>
      <w:r w:rsidRPr="00BC44EA">
        <w:rPr>
          <w:rFonts w:cstheme="minorHAnsi"/>
          <w:color w:val="000000" w:themeColor="text1"/>
          <w:sz w:val="20"/>
          <w:szCs w:val="20"/>
          <w:lang w:val="en-US"/>
        </w:rPr>
        <w:t>f.e</w:t>
      </w:r>
      <w:proofErr w:type="spellEnd"/>
      <w:r w:rsidRPr="00BC44EA">
        <w:rPr>
          <w:rFonts w:cstheme="minorHAnsi"/>
          <w:color w:val="000000" w:themeColor="text1"/>
          <w:sz w:val="20"/>
          <w:szCs w:val="20"/>
          <w:lang w:val="en-US"/>
        </w:rPr>
        <w:t xml:space="preserve">. vigorously in the drama he wrote in prison, where Christoph </w:t>
      </w:r>
      <w:r>
        <w:rPr>
          <w:rFonts w:cstheme="minorHAnsi"/>
          <w:color w:val="000000" w:themeColor="text1"/>
          <w:sz w:val="20"/>
          <w:szCs w:val="20"/>
          <w:lang w:val="en-US"/>
        </w:rPr>
        <w:t xml:space="preserve">boldly declares to the Major </w:t>
      </w:r>
      <w:r w:rsidRPr="00BC44EA">
        <w:rPr>
          <w:rFonts w:cstheme="minorHAnsi"/>
          <w:color w:val="000000" w:themeColor="text1"/>
          <w:sz w:val="20"/>
          <w:szCs w:val="20"/>
          <w:lang w:val="en-US"/>
        </w:rPr>
        <w:t>that ‘</w:t>
      </w:r>
      <w:r w:rsidRPr="00BC44EA">
        <w:rPr>
          <w:rFonts w:eastAsia="Times New Roman" w:cstheme="minorHAnsi"/>
          <w:color w:val="000000" w:themeColor="text1"/>
          <w:sz w:val="20"/>
          <w:szCs w:val="20"/>
          <w:shd w:val="clear" w:color="auto" w:fill="FFFFFF"/>
          <w:lang w:val="en-US" w:eastAsia="nl-NL"/>
        </w:rPr>
        <w:t>for the tiny number of masters [</w:t>
      </w:r>
      <w:proofErr w:type="spellStart"/>
      <w:r w:rsidRPr="00BC44EA">
        <w:rPr>
          <w:rFonts w:eastAsia="Times New Roman" w:cstheme="minorHAnsi"/>
          <w:color w:val="000000" w:themeColor="text1"/>
          <w:sz w:val="20"/>
          <w:szCs w:val="20"/>
          <w:shd w:val="clear" w:color="auto" w:fill="FFFFFF"/>
          <w:lang w:val="en-US" w:eastAsia="nl-NL"/>
        </w:rPr>
        <w:t>Herren</w:t>
      </w:r>
      <w:proofErr w:type="spellEnd"/>
      <w:r w:rsidRPr="00BC44EA">
        <w:rPr>
          <w:rFonts w:eastAsia="Times New Roman" w:cstheme="minorHAnsi"/>
          <w:color w:val="000000" w:themeColor="text1"/>
          <w:sz w:val="20"/>
          <w:szCs w:val="20"/>
          <w:shd w:val="clear" w:color="auto" w:fill="FFFFFF"/>
          <w:lang w:val="en-US" w:eastAsia="nl-NL"/>
        </w:rPr>
        <w:t>], for the free, the elite, the leaders—for them, love of life and happiness must not be the ultimate standard.</w:t>
      </w:r>
      <w:r w:rsidRPr="00BC44EA">
        <w:rPr>
          <w:rFonts w:eastAsia="Times New Roman" w:cstheme="minorHAnsi"/>
          <w:color w:val="000000" w:themeColor="text1"/>
          <w:sz w:val="20"/>
          <w:szCs w:val="20"/>
          <w:lang w:val="en-US" w:eastAsia="nl-NL"/>
        </w:rPr>
        <w:t>’</w:t>
      </w:r>
      <w:r w:rsidRPr="00BC44EA">
        <w:rPr>
          <w:rFonts w:cstheme="minorHAnsi"/>
          <w:color w:val="000000" w:themeColor="text1"/>
          <w:sz w:val="20"/>
          <w:szCs w:val="20"/>
          <w:lang w:val="en-US"/>
        </w:rPr>
        <w:t xml:space="preserve"> (DBW 7: 173)</w:t>
      </w:r>
      <w:r>
        <w:rPr>
          <w:rFonts w:cstheme="minorHAnsi"/>
          <w:color w:val="000000" w:themeColor="text1"/>
          <w:sz w:val="20"/>
          <w:szCs w:val="20"/>
          <w:lang w:val="en-US"/>
        </w:rPr>
        <w:t xml:space="preserve">. A few moments later the Major responds: </w:t>
      </w:r>
      <w:r w:rsidRPr="0028493C">
        <w:rPr>
          <w:rFonts w:cstheme="minorHAnsi"/>
          <w:color w:val="000000" w:themeColor="text1"/>
          <w:sz w:val="20"/>
          <w:szCs w:val="20"/>
          <w:lang w:val="en-US"/>
        </w:rPr>
        <w:t>‘</w:t>
      </w:r>
      <w:r w:rsidRPr="0028493C">
        <w:rPr>
          <w:rFonts w:cstheme="minorHAnsi"/>
          <w:color w:val="000000" w:themeColor="text1"/>
          <w:sz w:val="20"/>
          <w:szCs w:val="20"/>
          <w:shd w:val="clear" w:color="auto" w:fill="FFFFFF"/>
          <w:lang w:val="en-US"/>
        </w:rPr>
        <w:t>What purpose have you in taking charge, why do you want to lead, why do you want to prepare to bear unhappiness, if not in order to be able to make others happy?</w:t>
      </w:r>
      <w:r>
        <w:rPr>
          <w:rFonts w:cstheme="minorHAnsi"/>
          <w:color w:val="000000" w:themeColor="text1"/>
          <w:sz w:val="20"/>
          <w:szCs w:val="20"/>
          <w:shd w:val="clear" w:color="auto" w:fill="FFFFFF"/>
          <w:lang w:val="en-US"/>
        </w:rPr>
        <w:t xml:space="preserve"> (DBW 7: 175)</w:t>
      </w:r>
    </w:p>
    <w:p w:rsidR="0028493C" w:rsidRPr="0028493C" w:rsidRDefault="0028493C" w:rsidP="0028493C">
      <w:pPr>
        <w:rPr>
          <w:rFonts w:cstheme="minorHAnsi"/>
          <w:color w:val="000000" w:themeColor="text1"/>
          <w:sz w:val="20"/>
          <w:szCs w:val="20"/>
          <w:lang w:val="en-US"/>
        </w:rPr>
      </w:pPr>
      <w:r>
        <w:rPr>
          <w:rFonts w:cstheme="minorHAnsi"/>
          <w:color w:val="000000" w:themeColor="text1"/>
          <w:sz w:val="20"/>
          <w:szCs w:val="20"/>
          <w:lang w:val="en-US"/>
        </w:rPr>
        <w:t xml:space="preserve">For the societal relevance of Bonhoeffer’s explicitly Christological and ecclesial foundation of his ethics of responsibility, cf. Esther D. Reed, </w:t>
      </w:r>
      <w:r w:rsidRPr="00866DA7">
        <w:rPr>
          <w:rFonts w:cstheme="minorHAnsi"/>
          <w:i/>
          <w:iCs/>
          <w:color w:val="000000" w:themeColor="text1"/>
          <w:sz w:val="20"/>
          <w:szCs w:val="20"/>
          <w:lang w:val="en-US"/>
        </w:rPr>
        <w:t>The Limits of Responsibility</w:t>
      </w:r>
      <w:r>
        <w:rPr>
          <w:rFonts w:cstheme="minorHAnsi"/>
          <w:i/>
          <w:iCs/>
          <w:color w:val="000000" w:themeColor="text1"/>
          <w:sz w:val="20"/>
          <w:szCs w:val="20"/>
          <w:lang w:val="en-US"/>
        </w:rPr>
        <w:t>:</w:t>
      </w:r>
      <w:r w:rsidRPr="00866DA7">
        <w:rPr>
          <w:rFonts w:cstheme="minorHAnsi"/>
          <w:i/>
          <w:iCs/>
          <w:color w:val="000000" w:themeColor="text1"/>
          <w:sz w:val="20"/>
          <w:szCs w:val="20"/>
          <w:lang w:val="en-US"/>
        </w:rPr>
        <w:t xml:space="preserve"> Dietrich Bonhoeffer’s Ethics for a Globalizing Era</w:t>
      </w:r>
      <w:r>
        <w:rPr>
          <w:rFonts w:cstheme="minorHAnsi"/>
          <w:color w:val="000000" w:themeColor="text1"/>
          <w:sz w:val="20"/>
          <w:szCs w:val="20"/>
          <w:lang w:val="en-US"/>
        </w:rPr>
        <w:t xml:space="preserve"> (London &amp; New York: T&amp;T Clark 2018).</w:t>
      </w:r>
    </w:p>
    <w:p w:rsidR="0028493C" w:rsidRPr="00D92FA3" w:rsidRDefault="0028493C">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042825180"/>
      <w:docPartObj>
        <w:docPartGallery w:val="Page Numbers (Top of Page)"/>
        <w:docPartUnique/>
      </w:docPartObj>
    </w:sdtPr>
    <w:sdtContent>
      <w:p w:rsidR="0028493C" w:rsidRDefault="0028493C" w:rsidP="0028493C">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28493C" w:rsidRDefault="002849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szCs w:val="16"/>
      </w:rPr>
      <w:id w:val="945432718"/>
      <w:docPartObj>
        <w:docPartGallery w:val="Page Numbers (Top of Page)"/>
        <w:docPartUnique/>
      </w:docPartObj>
    </w:sdtPr>
    <w:sdtContent>
      <w:p w:rsidR="0028493C" w:rsidRPr="002A3CDF" w:rsidRDefault="0028493C" w:rsidP="0028493C">
        <w:pPr>
          <w:pStyle w:val="Koptekst"/>
          <w:framePr w:wrap="none" w:vAnchor="text" w:hAnchor="margin" w:xAlign="center" w:y="1"/>
          <w:rPr>
            <w:rStyle w:val="Paginanummer"/>
            <w:sz w:val="16"/>
            <w:szCs w:val="16"/>
          </w:rPr>
        </w:pPr>
        <w:r w:rsidRPr="002A3CDF">
          <w:rPr>
            <w:rStyle w:val="Paginanummer"/>
            <w:sz w:val="16"/>
            <w:szCs w:val="16"/>
          </w:rPr>
          <w:fldChar w:fldCharType="begin"/>
        </w:r>
        <w:r w:rsidRPr="002A3CDF">
          <w:rPr>
            <w:rStyle w:val="Paginanummer"/>
            <w:sz w:val="16"/>
            <w:szCs w:val="16"/>
          </w:rPr>
          <w:instrText xml:space="preserve"> PAGE </w:instrText>
        </w:r>
        <w:r w:rsidRPr="002A3CDF">
          <w:rPr>
            <w:rStyle w:val="Paginanummer"/>
            <w:sz w:val="16"/>
            <w:szCs w:val="16"/>
          </w:rPr>
          <w:fldChar w:fldCharType="separate"/>
        </w:r>
        <w:r>
          <w:rPr>
            <w:rStyle w:val="Paginanummer"/>
            <w:noProof/>
            <w:sz w:val="16"/>
            <w:szCs w:val="16"/>
          </w:rPr>
          <w:t>2</w:t>
        </w:r>
        <w:r w:rsidRPr="002A3CDF">
          <w:rPr>
            <w:rStyle w:val="Paginanummer"/>
            <w:sz w:val="16"/>
            <w:szCs w:val="16"/>
          </w:rPr>
          <w:fldChar w:fldCharType="end"/>
        </w:r>
      </w:p>
    </w:sdtContent>
  </w:sdt>
  <w:p w:rsidR="0028493C" w:rsidRDefault="002849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D1459D"/>
    <w:multiLevelType w:val="hybridMultilevel"/>
    <w:tmpl w:val="4F3872C6"/>
    <w:lvl w:ilvl="0" w:tplc="BA56FDDE">
      <w:start w:val="1"/>
      <w:numFmt w:val="decimal"/>
      <w:lvlText w:val="(%1)"/>
      <w:lvlJc w:val="left"/>
      <w:pPr>
        <w:ind w:left="720" w:hanging="360"/>
      </w:pPr>
      <w:rPr>
        <w:rFonts w:asciiTheme="minorHAnsi" w:eastAsiaTheme="minorHAnsi" w:hAnsiTheme="minorHAnsi"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7A0807"/>
    <w:multiLevelType w:val="hybridMultilevel"/>
    <w:tmpl w:val="CD3E3728"/>
    <w:lvl w:ilvl="0" w:tplc="2B0028E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96"/>
    <w:rsid w:val="00095563"/>
    <w:rsid w:val="00117A2D"/>
    <w:rsid w:val="001564F0"/>
    <w:rsid w:val="00197264"/>
    <w:rsid w:val="001B3961"/>
    <w:rsid w:val="001F0A76"/>
    <w:rsid w:val="00202181"/>
    <w:rsid w:val="0028493C"/>
    <w:rsid w:val="002C6C22"/>
    <w:rsid w:val="002F2B8A"/>
    <w:rsid w:val="0037270D"/>
    <w:rsid w:val="003819D9"/>
    <w:rsid w:val="003E1DE2"/>
    <w:rsid w:val="004677CA"/>
    <w:rsid w:val="004A3AA5"/>
    <w:rsid w:val="004D0B07"/>
    <w:rsid w:val="006234B1"/>
    <w:rsid w:val="00637993"/>
    <w:rsid w:val="00641C6C"/>
    <w:rsid w:val="00682540"/>
    <w:rsid w:val="00685F4E"/>
    <w:rsid w:val="006D22D3"/>
    <w:rsid w:val="00703689"/>
    <w:rsid w:val="00723864"/>
    <w:rsid w:val="00783432"/>
    <w:rsid w:val="007D7081"/>
    <w:rsid w:val="00820B7A"/>
    <w:rsid w:val="00866DA7"/>
    <w:rsid w:val="008754E5"/>
    <w:rsid w:val="009050BE"/>
    <w:rsid w:val="00910412"/>
    <w:rsid w:val="00973AF2"/>
    <w:rsid w:val="00974000"/>
    <w:rsid w:val="009E3F7C"/>
    <w:rsid w:val="00A708B4"/>
    <w:rsid w:val="00A9654D"/>
    <w:rsid w:val="00AC1ABA"/>
    <w:rsid w:val="00BA6353"/>
    <w:rsid w:val="00BC44EA"/>
    <w:rsid w:val="00CA6253"/>
    <w:rsid w:val="00D307E4"/>
    <w:rsid w:val="00D92FA3"/>
    <w:rsid w:val="00DC76E0"/>
    <w:rsid w:val="00DE3040"/>
    <w:rsid w:val="00DF0079"/>
    <w:rsid w:val="00F53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26C7"/>
  <w14:defaultImageDpi w14:val="32767"/>
  <w15:chartTrackingRefBased/>
  <w15:docId w15:val="{AFA71326-10B9-A04B-8040-C8D6B677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53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3C96"/>
    <w:rPr>
      <w:color w:val="0000FF"/>
      <w:u w:val="single"/>
    </w:rPr>
  </w:style>
  <w:style w:type="character" w:customStyle="1" w:styleId="citation">
    <w:name w:val="citation"/>
    <w:basedOn w:val="Standaardalinea-lettertype"/>
    <w:rsid w:val="00F53C96"/>
  </w:style>
  <w:style w:type="paragraph" w:styleId="Lijstalinea">
    <w:name w:val="List Paragraph"/>
    <w:basedOn w:val="Standaard"/>
    <w:uiPriority w:val="34"/>
    <w:qFormat/>
    <w:rsid w:val="00F53C96"/>
    <w:pPr>
      <w:ind w:left="720"/>
      <w:contextualSpacing/>
    </w:pPr>
  </w:style>
  <w:style w:type="paragraph" w:styleId="Voetnoottekst">
    <w:name w:val="footnote text"/>
    <w:basedOn w:val="Standaard"/>
    <w:link w:val="VoetnoottekstChar"/>
    <w:uiPriority w:val="99"/>
    <w:unhideWhenUsed/>
    <w:rsid w:val="00F53C96"/>
    <w:rPr>
      <w:sz w:val="20"/>
      <w:szCs w:val="20"/>
    </w:rPr>
  </w:style>
  <w:style w:type="character" w:customStyle="1" w:styleId="VoetnoottekstChar">
    <w:name w:val="Voetnoottekst Char"/>
    <w:basedOn w:val="Standaardalinea-lettertype"/>
    <w:link w:val="Voetnoottekst"/>
    <w:uiPriority w:val="99"/>
    <w:rsid w:val="00F53C96"/>
    <w:rPr>
      <w:sz w:val="20"/>
      <w:szCs w:val="20"/>
    </w:rPr>
  </w:style>
  <w:style w:type="character" w:styleId="Voetnootmarkering">
    <w:name w:val="footnote reference"/>
    <w:basedOn w:val="Standaardalinea-lettertype"/>
    <w:uiPriority w:val="99"/>
    <w:semiHidden/>
    <w:unhideWhenUsed/>
    <w:rsid w:val="00F53C96"/>
    <w:rPr>
      <w:vertAlign w:val="superscript"/>
    </w:rPr>
  </w:style>
  <w:style w:type="character" w:customStyle="1" w:styleId="highlight">
    <w:name w:val="highlight"/>
    <w:basedOn w:val="Standaardalinea-lettertype"/>
    <w:rsid w:val="00F53C96"/>
  </w:style>
  <w:style w:type="paragraph" w:styleId="Koptekst">
    <w:name w:val="header"/>
    <w:basedOn w:val="Standaard"/>
    <w:link w:val="KoptekstChar"/>
    <w:uiPriority w:val="99"/>
    <w:unhideWhenUsed/>
    <w:rsid w:val="00F53C96"/>
    <w:pPr>
      <w:tabs>
        <w:tab w:val="center" w:pos="4536"/>
        <w:tab w:val="right" w:pos="9072"/>
      </w:tabs>
    </w:pPr>
  </w:style>
  <w:style w:type="character" w:customStyle="1" w:styleId="KoptekstChar">
    <w:name w:val="Koptekst Char"/>
    <w:basedOn w:val="Standaardalinea-lettertype"/>
    <w:link w:val="Koptekst"/>
    <w:uiPriority w:val="99"/>
    <w:rsid w:val="00F53C96"/>
  </w:style>
  <w:style w:type="character" w:styleId="Paginanummer">
    <w:name w:val="page number"/>
    <w:basedOn w:val="Standaardalinea-lettertype"/>
    <w:uiPriority w:val="99"/>
    <w:semiHidden/>
    <w:unhideWhenUsed/>
    <w:rsid w:val="00F53C96"/>
  </w:style>
  <w:style w:type="character" w:styleId="Nadruk">
    <w:name w:val="Emphasis"/>
    <w:basedOn w:val="Standaardalinea-lettertype"/>
    <w:uiPriority w:val="20"/>
    <w:qFormat/>
    <w:rsid w:val="00973AF2"/>
    <w:rPr>
      <w:i/>
      <w:iCs/>
    </w:rPr>
  </w:style>
  <w:style w:type="paragraph" w:styleId="Normaalweb">
    <w:name w:val="Normal (Web)"/>
    <w:basedOn w:val="Standaard"/>
    <w:uiPriority w:val="99"/>
    <w:semiHidden/>
    <w:unhideWhenUsed/>
    <w:rsid w:val="007D7081"/>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06062">
      <w:bodyDiv w:val="1"/>
      <w:marLeft w:val="0"/>
      <w:marRight w:val="0"/>
      <w:marTop w:val="0"/>
      <w:marBottom w:val="0"/>
      <w:divBdr>
        <w:top w:val="none" w:sz="0" w:space="0" w:color="auto"/>
        <w:left w:val="none" w:sz="0" w:space="0" w:color="auto"/>
        <w:bottom w:val="none" w:sz="0" w:space="0" w:color="auto"/>
        <w:right w:val="none" w:sz="0" w:space="0" w:color="auto"/>
      </w:divBdr>
    </w:div>
    <w:div w:id="603225931">
      <w:bodyDiv w:val="1"/>
      <w:marLeft w:val="0"/>
      <w:marRight w:val="0"/>
      <w:marTop w:val="0"/>
      <w:marBottom w:val="0"/>
      <w:divBdr>
        <w:top w:val="none" w:sz="0" w:space="0" w:color="auto"/>
        <w:left w:val="none" w:sz="0" w:space="0" w:color="auto"/>
        <w:bottom w:val="none" w:sz="0" w:space="0" w:color="auto"/>
        <w:right w:val="none" w:sz="0" w:space="0" w:color="auto"/>
      </w:divBdr>
    </w:div>
    <w:div w:id="1100637509">
      <w:bodyDiv w:val="1"/>
      <w:marLeft w:val="0"/>
      <w:marRight w:val="0"/>
      <w:marTop w:val="0"/>
      <w:marBottom w:val="0"/>
      <w:divBdr>
        <w:top w:val="none" w:sz="0" w:space="0" w:color="auto"/>
        <w:left w:val="none" w:sz="0" w:space="0" w:color="auto"/>
        <w:bottom w:val="none" w:sz="0" w:space="0" w:color="auto"/>
        <w:right w:val="none" w:sz="0" w:space="0" w:color="auto"/>
      </w:divBdr>
    </w:div>
    <w:div w:id="1749421811">
      <w:bodyDiv w:val="1"/>
      <w:marLeft w:val="0"/>
      <w:marRight w:val="0"/>
      <w:marTop w:val="0"/>
      <w:marBottom w:val="0"/>
      <w:divBdr>
        <w:top w:val="none" w:sz="0" w:space="0" w:color="auto"/>
        <w:left w:val="none" w:sz="0" w:space="0" w:color="auto"/>
        <w:bottom w:val="none" w:sz="0" w:space="0" w:color="auto"/>
        <w:right w:val="none" w:sz="0" w:space="0" w:color="auto"/>
      </w:divBdr>
    </w:div>
    <w:div w:id="21088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elange@pthu.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itsdelange.n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ctionary.cambridge.org/dictionary/english/human" TargetMode="External"/><Relationship Id="rId13" Type="http://schemas.openxmlformats.org/officeDocument/2006/relationships/hyperlink" Target="https://dictionary.cambridge.org/dictionary/english/children" TargetMode="External"/><Relationship Id="rId3" Type="http://schemas.openxmlformats.org/officeDocument/2006/relationships/hyperlink" Target="https://dictionary.cambridge.org/dictionary/english/society" TargetMode="External"/><Relationship Id="rId7" Type="http://schemas.openxmlformats.org/officeDocument/2006/relationships/hyperlink" Target="https://dictionary.cambridge.org/dictionary/english/year" TargetMode="External"/><Relationship Id="rId12" Type="http://schemas.openxmlformats.org/officeDocument/2006/relationships/hyperlink" Target="https://dictionary.cambridge.org/dictionary/english/their" TargetMode="External"/><Relationship Id="rId2" Type="http://schemas.openxmlformats.org/officeDocument/2006/relationships/hyperlink" Target="https://dictionary.cambridge.org/dictionary/english/age" TargetMode="External"/><Relationship Id="rId1" Type="http://schemas.openxmlformats.org/officeDocument/2006/relationships/hyperlink" Target="https://dictionary.cambridge.org/dictionary/english/people" TargetMode="External"/><Relationship Id="rId6" Type="http://schemas.openxmlformats.org/officeDocument/2006/relationships/hyperlink" Target="https://dictionary.cambridge.org/dictionary/english/period" TargetMode="External"/><Relationship Id="rId11" Type="http://schemas.openxmlformats.org/officeDocument/2006/relationships/hyperlink" Target="https://dictionary.cambridge.org/dictionary/english/adult" TargetMode="External"/><Relationship Id="rId5" Type="http://schemas.openxmlformats.org/officeDocument/2006/relationships/hyperlink" Target="https://dictionary.cambridge.org/dictionary/english/family" TargetMode="External"/><Relationship Id="rId10" Type="http://schemas.openxmlformats.org/officeDocument/2006/relationships/hyperlink" Target="https://dictionary.cambridge.org/dictionary/english/become" TargetMode="External"/><Relationship Id="rId4" Type="http://schemas.openxmlformats.org/officeDocument/2006/relationships/hyperlink" Target="https://dictionary.cambridge.org/dictionary/english/particular" TargetMode="External"/><Relationship Id="rId9" Type="http://schemas.openxmlformats.org/officeDocument/2006/relationships/hyperlink" Target="https://dictionary.cambridge.org/dictionary/english/baby"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4389-A212-714F-886D-FBC9DF5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10</Pages>
  <Words>3882</Words>
  <Characters>20385</Characters>
  <Application>Microsoft Office Word</Application>
  <DocSecurity>0</DocSecurity>
  <Lines>357</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de lange</dc:creator>
  <cp:keywords/>
  <dc:description/>
  <cp:lastModifiedBy>frits de lange</cp:lastModifiedBy>
  <cp:revision>10</cp:revision>
  <dcterms:created xsi:type="dcterms:W3CDTF">2020-03-16T08:33:00Z</dcterms:created>
  <dcterms:modified xsi:type="dcterms:W3CDTF">2020-03-20T19:40:00Z</dcterms:modified>
</cp:coreProperties>
</file>